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0672" w14:textId="77777777" w:rsidR="00757EF7" w:rsidRPr="003E5B51" w:rsidRDefault="00757EF7" w:rsidP="008D75CE">
      <w:pPr>
        <w:spacing w:before="0" w:after="0"/>
        <w:ind w:left="0" w:firstLine="0"/>
        <w:jc w:val="right"/>
        <w:rPr>
          <w:rFonts w:ascii="Palatino Linotype" w:hAnsi="Palatino Linotype" w:cs="Arial"/>
        </w:rPr>
      </w:pPr>
    </w:p>
    <w:p w14:paraId="4C7A1B4E" w14:textId="77777777" w:rsidR="00757EF7" w:rsidRPr="003E5B51" w:rsidRDefault="00757EF7" w:rsidP="008D75CE">
      <w:pPr>
        <w:jc w:val="right"/>
        <w:rPr>
          <w:rFonts w:ascii="Palatino Linotype" w:hAnsi="Palatino Linotype" w:cs="Arial"/>
        </w:rPr>
      </w:pPr>
    </w:p>
    <w:p w14:paraId="03765BA7" w14:textId="77777777" w:rsidR="00757EF7" w:rsidRPr="003E5B51" w:rsidRDefault="00322C8F" w:rsidP="008D75CE">
      <w:pPr>
        <w:pStyle w:val="Heading1"/>
        <w:spacing w:before="0" w:after="0"/>
        <w:rPr>
          <w:rFonts w:ascii="Palatino Linotype" w:hAnsi="Palatino Linotype"/>
          <w:szCs w:val="28"/>
          <w:u w:val="none"/>
        </w:rPr>
      </w:pPr>
      <w:smartTag w:uri="urn:schemas-microsoft-com:office:smarttags" w:element="Street">
        <w:smartTag w:uri="urn:schemas-microsoft-com:office:smarttags" w:element="address">
          <w:r>
            <w:rPr>
              <w:rFonts w:ascii="Palatino Linotype" w:hAnsi="Palatino Linotype"/>
              <w:szCs w:val="28"/>
              <w:u w:val="none"/>
            </w:rPr>
            <w:t xml:space="preserve">Field </w:t>
          </w:r>
          <w:r w:rsidR="00A87204">
            <w:rPr>
              <w:rFonts w:ascii="Palatino Linotype" w:hAnsi="Palatino Linotype"/>
              <w:szCs w:val="28"/>
              <w:u w:val="none"/>
            </w:rPr>
            <w:t>C</w:t>
          </w:r>
          <w:r>
            <w:rPr>
              <w:rFonts w:ascii="Palatino Linotype" w:hAnsi="Palatino Linotype"/>
              <w:szCs w:val="28"/>
              <w:u w:val="none"/>
            </w:rPr>
            <w:t>ourt</w:t>
          </w:r>
        </w:smartTag>
      </w:smartTag>
      <w:r>
        <w:rPr>
          <w:rFonts w:ascii="Palatino Linotype" w:hAnsi="Palatino Linotype"/>
          <w:szCs w:val="28"/>
          <w:u w:val="none"/>
        </w:rPr>
        <w:t xml:space="preserve"> Chambers Standard Terms of Business</w:t>
      </w:r>
    </w:p>
    <w:p w14:paraId="6EA6C0C0" w14:textId="77777777" w:rsidR="00757EF7" w:rsidRPr="003E5B51" w:rsidRDefault="00757EF7" w:rsidP="008D75CE">
      <w:pPr>
        <w:pStyle w:val="Heading1"/>
        <w:rPr>
          <w:rFonts w:ascii="Palatino Linotype" w:hAnsi="Palatino Linotype"/>
          <w:sz w:val="22"/>
        </w:rPr>
      </w:pPr>
      <w:r w:rsidRPr="003E5B51">
        <w:rPr>
          <w:rFonts w:ascii="Palatino Linotype" w:hAnsi="Palatino Linotype"/>
          <w:sz w:val="22"/>
        </w:rPr>
        <w:t>INDEX OF CLAUSES</w:t>
      </w:r>
    </w:p>
    <w:p w14:paraId="0E3D709A" w14:textId="77777777" w:rsidR="00757EF7" w:rsidRPr="003E5B51" w:rsidRDefault="00757EF7" w:rsidP="008D75CE">
      <w:pPr>
        <w:ind w:left="0" w:firstLine="0"/>
        <w:rPr>
          <w:rFonts w:ascii="Palatino Linotype" w:hAnsi="Palatino Linotype"/>
        </w:rPr>
      </w:pPr>
    </w:p>
    <w:p w14:paraId="66157851" w14:textId="77777777" w:rsidR="00757EF7" w:rsidRPr="003E5B51" w:rsidRDefault="00757EF7" w:rsidP="008D75CE">
      <w:pPr>
        <w:tabs>
          <w:tab w:val="left" w:pos="851"/>
          <w:tab w:val="right" w:pos="9072"/>
        </w:tabs>
        <w:ind w:left="0" w:firstLine="0"/>
        <w:rPr>
          <w:rFonts w:ascii="Palatino Linotype" w:hAnsi="Palatino Linotype"/>
        </w:rPr>
      </w:pPr>
      <w:r w:rsidRPr="003E5B51">
        <w:rPr>
          <w:rFonts w:ascii="Palatino Linotype" w:hAnsi="Palatino Linotype"/>
        </w:rPr>
        <w:t>NO.</w:t>
      </w:r>
      <w:r w:rsidRPr="003E5B51">
        <w:rPr>
          <w:rFonts w:ascii="Palatino Linotype" w:hAnsi="Palatino Linotype"/>
        </w:rPr>
        <w:tab/>
        <w:t>TITLE</w:t>
      </w:r>
      <w:r w:rsidRPr="003E5B51">
        <w:rPr>
          <w:rFonts w:ascii="Palatino Linotype" w:hAnsi="Palatino Linotype"/>
        </w:rPr>
        <w:tab/>
        <w:t>PAGE NO.</w:t>
      </w:r>
    </w:p>
    <w:p w14:paraId="60B5BA5A" w14:textId="77777777" w:rsidR="00757EF7" w:rsidRPr="007E2FBC" w:rsidRDefault="00757EF7">
      <w:pPr>
        <w:pStyle w:val="TOC1"/>
        <w:rPr>
          <w:rFonts w:ascii="Calibri" w:hAnsi="Calibri"/>
          <w:noProof/>
          <w:kern w:val="0"/>
          <w:lang w:eastAsia="en-GB"/>
        </w:rPr>
      </w:pPr>
      <w:r w:rsidRPr="003E5B51">
        <w:rPr>
          <w:rFonts w:ascii="Palatino Linotype" w:hAnsi="Palatino Linotype"/>
        </w:rPr>
        <w:fldChar w:fldCharType="begin"/>
      </w:r>
      <w:r w:rsidRPr="003E5B51">
        <w:rPr>
          <w:rFonts w:ascii="Palatino Linotype" w:hAnsi="Palatino Linotype"/>
        </w:rPr>
        <w:instrText xml:space="preserve"> TOC \h \z \u \t "Heading 2,1,Heading 3,2" </w:instrText>
      </w:r>
      <w:r w:rsidRPr="003E5B51">
        <w:rPr>
          <w:rFonts w:ascii="Palatino Linotype" w:hAnsi="Palatino Linotype"/>
        </w:rPr>
        <w:fldChar w:fldCharType="separate"/>
      </w:r>
      <w:hyperlink w:anchor="_Toc326333189" w:history="1">
        <w:r w:rsidRPr="00C32692">
          <w:rPr>
            <w:rStyle w:val="Hyperlink"/>
            <w:rFonts w:ascii="Palatino Linotype" w:hAnsi="Palatino Linotype"/>
            <w:noProof/>
          </w:rPr>
          <w:t>1.</w:t>
        </w:r>
        <w:r w:rsidRPr="007E2FBC">
          <w:rPr>
            <w:rFonts w:ascii="Calibri" w:hAnsi="Calibri"/>
            <w:noProof/>
            <w:kern w:val="0"/>
            <w:lang w:eastAsia="en-GB"/>
          </w:rPr>
          <w:tab/>
        </w:r>
        <w:r w:rsidRPr="00C32692">
          <w:rPr>
            <w:rStyle w:val="Hyperlink"/>
            <w:rFonts w:ascii="Palatino Linotype" w:hAnsi="Palatino Linotype"/>
            <w:noProof/>
          </w:rPr>
          <w:t>DEFINITIONS AND INTERPRETATION</w:t>
        </w:r>
        <w:r>
          <w:rPr>
            <w:noProof/>
            <w:webHidden/>
          </w:rPr>
          <w:tab/>
        </w:r>
        <w:r>
          <w:rPr>
            <w:noProof/>
            <w:webHidden/>
          </w:rPr>
          <w:fldChar w:fldCharType="begin"/>
        </w:r>
        <w:r>
          <w:rPr>
            <w:noProof/>
            <w:webHidden/>
          </w:rPr>
          <w:instrText xml:space="preserve"> PAGEREF _Toc326333189 \h </w:instrText>
        </w:r>
        <w:r>
          <w:rPr>
            <w:noProof/>
            <w:webHidden/>
          </w:rPr>
        </w:r>
        <w:r>
          <w:rPr>
            <w:noProof/>
            <w:webHidden/>
          </w:rPr>
          <w:fldChar w:fldCharType="separate"/>
        </w:r>
        <w:r w:rsidR="00D362E0">
          <w:rPr>
            <w:noProof/>
            <w:webHidden/>
          </w:rPr>
          <w:t>1</w:t>
        </w:r>
        <w:r>
          <w:rPr>
            <w:noProof/>
            <w:webHidden/>
          </w:rPr>
          <w:fldChar w:fldCharType="end"/>
        </w:r>
      </w:hyperlink>
    </w:p>
    <w:p w14:paraId="36BB035C" w14:textId="77777777" w:rsidR="00757EF7" w:rsidRPr="007E2FBC" w:rsidRDefault="00435437">
      <w:pPr>
        <w:pStyle w:val="TOC1"/>
        <w:rPr>
          <w:rFonts w:ascii="Calibri" w:hAnsi="Calibri"/>
          <w:noProof/>
          <w:kern w:val="0"/>
          <w:lang w:eastAsia="en-GB"/>
        </w:rPr>
      </w:pPr>
      <w:hyperlink w:anchor="_Toc326333190" w:history="1">
        <w:r w:rsidR="00757EF7" w:rsidRPr="00C32692">
          <w:rPr>
            <w:rStyle w:val="Hyperlink"/>
            <w:rFonts w:ascii="Palatino Linotype" w:hAnsi="Palatino Linotype"/>
            <w:noProof/>
          </w:rPr>
          <w:t>2.</w:t>
        </w:r>
        <w:r w:rsidR="00757EF7" w:rsidRPr="007E2FBC">
          <w:rPr>
            <w:rFonts w:ascii="Calibri" w:hAnsi="Calibri"/>
            <w:noProof/>
            <w:kern w:val="0"/>
            <w:lang w:eastAsia="en-GB"/>
          </w:rPr>
          <w:tab/>
        </w:r>
        <w:r w:rsidR="00757EF7" w:rsidRPr="00C32692">
          <w:rPr>
            <w:rStyle w:val="Hyperlink"/>
            <w:rFonts w:ascii="Palatino Linotype" w:hAnsi="Palatino Linotype"/>
            <w:noProof/>
          </w:rPr>
          <w:t>APPLICATION OF THESE CONDITIONS</w:t>
        </w:r>
        <w:r w:rsidR="00757EF7">
          <w:rPr>
            <w:noProof/>
            <w:webHidden/>
          </w:rPr>
          <w:tab/>
        </w:r>
        <w:r w:rsidR="00757EF7">
          <w:rPr>
            <w:noProof/>
            <w:webHidden/>
          </w:rPr>
          <w:fldChar w:fldCharType="begin"/>
        </w:r>
        <w:r w:rsidR="00757EF7">
          <w:rPr>
            <w:noProof/>
            <w:webHidden/>
          </w:rPr>
          <w:instrText xml:space="preserve"> PAGEREF _Toc326333190 \h </w:instrText>
        </w:r>
        <w:r w:rsidR="00757EF7">
          <w:rPr>
            <w:noProof/>
            <w:webHidden/>
          </w:rPr>
        </w:r>
        <w:r w:rsidR="00757EF7">
          <w:rPr>
            <w:noProof/>
            <w:webHidden/>
          </w:rPr>
          <w:fldChar w:fldCharType="separate"/>
        </w:r>
        <w:r w:rsidR="00D362E0">
          <w:rPr>
            <w:noProof/>
            <w:webHidden/>
          </w:rPr>
          <w:t>2</w:t>
        </w:r>
        <w:r w:rsidR="00757EF7">
          <w:rPr>
            <w:noProof/>
            <w:webHidden/>
          </w:rPr>
          <w:fldChar w:fldCharType="end"/>
        </w:r>
      </w:hyperlink>
    </w:p>
    <w:p w14:paraId="3F7CB325" w14:textId="77777777" w:rsidR="00757EF7" w:rsidRPr="007E2FBC" w:rsidRDefault="00435437">
      <w:pPr>
        <w:pStyle w:val="TOC1"/>
        <w:rPr>
          <w:rFonts w:ascii="Calibri" w:hAnsi="Calibri"/>
          <w:noProof/>
          <w:kern w:val="0"/>
          <w:lang w:eastAsia="en-GB"/>
        </w:rPr>
      </w:pPr>
      <w:hyperlink w:anchor="_Toc326333191" w:history="1">
        <w:r w:rsidR="00757EF7" w:rsidRPr="00C32692">
          <w:rPr>
            <w:rStyle w:val="Hyperlink"/>
            <w:rFonts w:ascii="Palatino Linotype" w:hAnsi="Palatino Linotype"/>
            <w:noProof/>
          </w:rPr>
          <w:t>3.</w:t>
        </w:r>
        <w:r w:rsidR="00757EF7" w:rsidRPr="007E2FBC">
          <w:rPr>
            <w:rFonts w:ascii="Calibri" w:hAnsi="Calibri"/>
            <w:noProof/>
            <w:kern w:val="0"/>
            <w:lang w:eastAsia="en-GB"/>
          </w:rPr>
          <w:tab/>
        </w:r>
        <w:r w:rsidR="00757EF7" w:rsidRPr="00C32692">
          <w:rPr>
            <w:rStyle w:val="Hyperlink"/>
            <w:rFonts w:ascii="Palatino Linotype" w:hAnsi="Palatino Linotype"/>
            <w:noProof/>
          </w:rPr>
          <w:t>THE INSTRUCTIONS TO THE BARRISTER</w:t>
        </w:r>
        <w:r w:rsidR="00757EF7">
          <w:rPr>
            <w:noProof/>
            <w:webHidden/>
          </w:rPr>
          <w:tab/>
        </w:r>
        <w:r w:rsidR="00757EF7">
          <w:rPr>
            <w:noProof/>
            <w:webHidden/>
          </w:rPr>
          <w:fldChar w:fldCharType="begin"/>
        </w:r>
        <w:r w:rsidR="00757EF7">
          <w:rPr>
            <w:noProof/>
            <w:webHidden/>
          </w:rPr>
          <w:instrText xml:space="preserve"> PAGEREF _Toc326333191 \h </w:instrText>
        </w:r>
        <w:r w:rsidR="00757EF7">
          <w:rPr>
            <w:noProof/>
            <w:webHidden/>
          </w:rPr>
        </w:r>
        <w:r w:rsidR="00757EF7">
          <w:rPr>
            <w:noProof/>
            <w:webHidden/>
          </w:rPr>
          <w:fldChar w:fldCharType="separate"/>
        </w:r>
        <w:r w:rsidR="00D362E0">
          <w:rPr>
            <w:noProof/>
            <w:webHidden/>
          </w:rPr>
          <w:t>3</w:t>
        </w:r>
        <w:r w:rsidR="00757EF7">
          <w:rPr>
            <w:noProof/>
            <w:webHidden/>
          </w:rPr>
          <w:fldChar w:fldCharType="end"/>
        </w:r>
      </w:hyperlink>
    </w:p>
    <w:p w14:paraId="2DF15A4D" w14:textId="77777777" w:rsidR="00757EF7" w:rsidRPr="007E2FBC" w:rsidRDefault="00435437">
      <w:pPr>
        <w:pStyle w:val="TOC1"/>
        <w:rPr>
          <w:rFonts w:ascii="Calibri" w:hAnsi="Calibri"/>
          <w:noProof/>
          <w:kern w:val="0"/>
          <w:lang w:eastAsia="en-GB"/>
        </w:rPr>
      </w:pPr>
      <w:hyperlink w:anchor="_Toc326333192" w:history="1">
        <w:r w:rsidR="00757EF7" w:rsidRPr="00C32692">
          <w:rPr>
            <w:rStyle w:val="Hyperlink"/>
            <w:rFonts w:ascii="Palatino Linotype" w:hAnsi="Palatino Linotype"/>
            <w:noProof/>
          </w:rPr>
          <w:t>4.</w:t>
        </w:r>
        <w:r w:rsidR="00757EF7" w:rsidRPr="007E2FBC">
          <w:rPr>
            <w:rFonts w:ascii="Calibri" w:hAnsi="Calibri"/>
            <w:noProof/>
            <w:kern w:val="0"/>
            <w:lang w:eastAsia="en-GB"/>
          </w:rPr>
          <w:tab/>
        </w:r>
        <w:r w:rsidR="00757EF7" w:rsidRPr="00C32692">
          <w:rPr>
            <w:rStyle w:val="Hyperlink"/>
            <w:rFonts w:ascii="Palatino Linotype" w:hAnsi="Palatino Linotype"/>
            <w:noProof/>
          </w:rPr>
          <w:t>RECEIPT AND ACCEPTANCE OF THE INSTRUCTIONS</w:t>
        </w:r>
        <w:r w:rsidR="00757EF7">
          <w:rPr>
            <w:noProof/>
            <w:webHidden/>
          </w:rPr>
          <w:tab/>
        </w:r>
        <w:r w:rsidR="00757EF7">
          <w:rPr>
            <w:noProof/>
            <w:webHidden/>
          </w:rPr>
          <w:fldChar w:fldCharType="begin"/>
        </w:r>
        <w:r w:rsidR="00757EF7">
          <w:rPr>
            <w:noProof/>
            <w:webHidden/>
          </w:rPr>
          <w:instrText xml:space="preserve"> PAGEREF _Toc326333192 \h </w:instrText>
        </w:r>
        <w:r w:rsidR="00757EF7">
          <w:rPr>
            <w:noProof/>
            <w:webHidden/>
          </w:rPr>
        </w:r>
        <w:r w:rsidR="00757EF7">
          <w:rPr>
            <w:noProof/>
            <w:webHidden/>
          </w:rPr>
          <w:fldChar w:fldCharType="separate"/>
        </w:r>
        <w:r w:rsidR="00D362E0">
          <w:rPr>
            <w:noProof/>
            <w:webHidden/>
          </w:rPr>
          <w:t>3</w:t>
        </w:r>
        <w:r w:rsidR="00757EF7">
          <w:rPr>
            <w:noProof/>
            <w:webHidden/>
          </w:rPr>
          <w:fldChar w:fldCharType="end"/>
        </w:r>
      </w:hyperlink>
    </w:p>
    <w:p w14:paraId="1F21F6DE" w14:textId="77777777" w:rsidR="00757EF7" w:rsidRPr="007E2FBC" w:rsidRDefault="00435437">
      <w:pPr>
        <w:pStyle w:val="TOC1"/>
        <w:rPr>
          <w:rFonts w:ascii="Calibri" w:hAnsi="Calibri"/>
          <w:noProof/>
          <w:kern w:val="0"/>
          <w:lang w:eastAsia="en-GB"/>
        </w:rPr>
      </w:pPr>
      <w:hyperlink w:anchor="_Toc326333193" w:history="1">
        <w:r w:rsidR="00757EF7" w:rsidRPr="00C32692">
          <w:rPr>
            <w:rStyle w:val="Hyperlink"/>
            <w:rFonts w:ascii="Palatino Linotype" w:hAnsi="Palatino Linotype"/>
            <w:noProof/>
          </w:rPr>
          <w:t>5.</w:t>
        </w:r>
        <w:r w:rsidR="00757EF7" w:rsidRPr="007E2FBC">
          <w:rPr>
            <w:rFonts w:ascii="Calibri" w:hAnsi="Calibri"/>
            <w:noProof/>
            <w:kern w:val="0"/>
            <w:lang w:eastAsia="en-GB"/>
          </w:rPr>
          <w:tab/>
        </w:r>
        <w:r w:rsidR="00757EF7" w:rsidRPr="00C32692">
          <w:rPr>
            <w:rStyle w:val="Hyperlink"/>
            <w:rFonts w:ascii="Palatino Linotype" w:hAnsi="Palatino Linotype"/>
            <w:noProof/>
          </w:rPr>
          <w:t>CONFIDENTIAL INFORMATION AND PUBLICITY</w:t>
        </w:r>
        <w:r w:rsidR="00757EF7">
          <w:rPr>
            <w:noProof/>
            <w:webHidden/>
          </w:rPr>
          <w:tab/>
        </w:r>
        <w:r w:rsidR="00757EF7">
          <w:rPr>
            <w:noProof/>
            <w:webHidden/>
          </w:rPr>
          <w:fldChar w:fldCharType="begin"/>
        </w:r>
        <w:r w:rsidR="00757EF7">
          <w:rPr>
            <w:noProof/>
            <w:webHidden/>
          </w:rPr>
          <w:instrText xml:space="preserve"> PAGEREF _Toc326333193 \h </w:instrText>
        </w:r>
        <w:r w:rsidR="00757EF7">
          <w:rPr>
            <w:noProof/>
            <w:webHidden/>
          </w:rPr>
        </w:r>
        <w:r w:rsidR="00757EF7">
          <w:rPr>
            <w:noProof/>
            <w:webHidden/>
          </w:rPr>
          <w:fldChar w:fldCharType="separate"/>
        </w:r>
        <w:r w:rsidR="00D362E0">
          <w:rPr>
            <w:noProof/>
            <w:webHidden/>
          </w:rPr>
          <w:t>4</w:t>
        </w:r>
        <w:r w:rsidR="00757EF7">
          <w:rPr>
            <w:noProof/>
            <w:webHidden/>
          </w:rPr>
          <w:fldChar w:fldCharType="end"/>
        </w:r>
      </w:hyperlink>
    </w:p>
    <w:p w14:paraId="750873A5" w14:textId="77777777" w:rsidR="00757EF7" w:rsidRPr="007E2FBC" w:rsidRDefault="00435437">
      <w:pPr>
        <w:pStyle w:val="TOC1"/>
        <w:rPr>
          <w:rFonts w:ascii="Calibri" w:hAnsi="Calibri"/>
          <w:noProof/>
          <w:kern w:val="0"/>
          <w:lang w:eastAsia="en-GB"/>
        </w:rPr>
      </w:pPr>
      <w:hyperlink w:anchor="_Toc326333194" w:history="1">
        <w:r w:rsidR="00757EF7" w:rsidRPr="00C32692">
          <w:rPr>
            <w:rStyle w:val="Hyperlink"/>
            <w:rFonts w:ascii="Palatino Linotype" w:hAnsi="Palatino Linotype"/>
            <w:noProof/>
          </w:rPr>
          <w:t>6.</w:t>
        </w:r>
        <w:r w:rsidR="00757EF7" w:rsidRPr="007E2FBC">
          <w:rPr>
            <w:rFonts w:ascii="Calibri" w:hAnsi="Calibri"/>
            <w:noProof/>
            <w:kern w:val="0"/>
            <w:lang w:eastAsia="en-GB"/>
          </w:rPr>
          <w:tab/>
        </w:r>
        <w:r w:rsidR="00757EF7" w:rsidRPr="00C32692">
          <w:rPr>
            <w:rStyle w:val="Hyperlink"/>
            <w:rFonts w:ascii="Palatino Linotype" w:hAnsi="Palatino Linotype"/>
            <w:noProof/>
          </w:rPr>
          <w:t>ELECTRONIC COMMUNICATION</w:t>
        </w:r>
        <w:r w:rsidR="00757EF7">
          <w:rPr>
            <w:noProof/>
            <w:webHidden/>
          </w:rPr>
          <w:tab/>
        </w:r>
        <w:r w:rsidR="00757EF7">
          <w:rPr>
            <w:noProof/>
            <w:webHidden/>
          </w:rPr>
          <w:fldChar w:fldCharType="begin"/>
        </w:r>
        <w:r w:rsidR="00757EF7">
          <w:rPr>
            <w:noProof/>
            <w:webHidden/>
          </w:rPr>
          <w:instrText xml:space="preserve"> PAGEREF _Toc326333194 \h </w:instrText>
        </w:r>
        <w:r w:rsidR="00757EF7">
          <w:rPr>
            <w:noProof/>
            <w:webHidden/>
          </w:rPr>
        </w:r>
        <w:r w:rsidR="00757EF7">
          <w:rPr>
            <w:noProof/>
            <w:webHidden/>
          </w:rPr>
          <w:fldChar w:fldCharType="separate"/>
        </w:r>
        <w:r w:rsidR="00D362E0">
          <w:rPr>
            <w:noProof/>
            <w:webHidden/>
          </w:rPr>
          <w:t>4</w:t>
        </w:r>
        <w:r w:rsidR="00757EF7">
          <w:rPr>
            <w:noProof/>
            <w:webHidden/>
          </w:rPr>
          <w:fldChar w:fldCharType="end"/>
        </w:r>
      </w:hyperlink>
    </w:p>
    <w:p w14:paraId="60496857" w14:textId="77777777" w:rsidR="00757EF7" w:rsidRPr="007E2FBC" w:rsidRDefault="00435437">
      <w:pPr>
        <w:pStyle w:val="TOC1"/>
        <w:rPr>
          <w:rFonts w:ascii="Calibri" w:hAnsi="Calibri"/>
          <w:noProof/>
          <w:kern w:val="0"/>
          <w:lang w:eastAsia="en-GB"/>
        </w:rPr>
      </w:pPr>
      <w:hyperlink w:anchor="_Toc326333195" w:history="1">
        <w:r w:rsidR="00757EF7" w:rsidRPr="00C32692">
          <w:rPr>
            <w:rStyle w:val="Hyperlink"/>
            <w:rFonts w:ascii="Palatino Linotype" w:hAnsi="Palatino Linotype"/>
            <w:noProof/>
          </w:rPr>
          <w:t>7.</w:t>
        </w:r>
        <w:r w:rsidR="00757EF7" w:rsidRPr="007E2FBC">
          <w:rPr>
            <w:rFonts w:ascii="Calibri" w:hAnsi="Calibri"/>
            <w:noProof/>
            <w:kern w:val="0"/>
            <w:lang w:eastAsia="en-GB"/>
          </w:rPr>
          <w:tab/>
        </w:r>
        <w:r w:rsidR="00757EF7" w:rsidRPr="00C32692">
          <w:rPr>
            <w:rStyle w:val="Hyperlink"/>
            <w:rFonts w:ascii="Palatino Linotype" w:hAnsi="Palatino Linotype"/>
            <w:noProof/>
          </w:rPr>
          <w:t>DATA PROTECTION</w:t>
        </w:r>
        <w:r w:rsidR="00757EF7">
          <w:rPr>
            <w:noProof/>
            <w:webHidden/>
          </w:rPr>
          <w:tab/>
        </w:r>
        <w:r w:rsidR="00757EF7">
          <w:rPr>
            <w:noProof/>
            <w:webHidden/>
          </w:rPr>
          <w:fldChar w:fldCharType="begin"/>
        </w:r>
        <w:r w:rsidR="00757EF7">
          <w:rPr>
            <w:noProof/>
            <w:webHidden/>
          </w:rPr>
          <w:instrText xml:space="preserve"> PAGEREF _Toc326333195 \h </w:instrText>
        </w:r>
        <w:r w:rsidR="00757EF7">
          <w:rPr>
            <w:noProof/>
            <w:webHidden/>
          </w:rPr>
        </w:r>
        <w:r w:rsidR="00757EF7">
          <w:rPr>
            <w:noProof/>
            <w:webHidden/>
          </w:rPr>
          <w:fldChar w:fldCharType="separate"/>
        </w:r>
        <w:r w:rsidR="00D362E0">
          <w:rPr>
            <w:noProof/>
            <w:webHidden/>
          </w:rPr>
          <w:t>5</w:t>
        </w:r>
        <w:r w:rsidR="00757EF7">
          <w:rPr>
            <w:noProof/>
            <w:webHidden/>
          </w:rPr>
          <w:fldChar w:fldCharType="end"/>
        </w:r>
      </w:hyperlink>
    </w:p>
    <w:p w14:paraId="7B34C4EB" w14:textId="77777777" w:rsidR="00757EF7" w:rsidRPr="007E2FBC" w:rsidRDefault="00435437">
      <w:pPr>
        <w:pStyle w:val="TOC1"/>
        <w:rPr>
          <w:rFonts w:ascii="Calibri" w:hAnsi="Calibri"/>
          <w:noProof/>
          <w:kern w:val="0"/>
          <w:lang w:eastAsia="en-GB"/>
        </w:rPr>
      </w:pPr>
      <w:hyperlink w:anchor="_Toc326333196" w:history="1">
        <w:r w:rsidR="00757EF7" w:rsidRPr="00C32692">
          <w:rPr>
            <w:rStyle w:val="Hyperlink"/>
            <w:rFonts w:ascii="Palatino Linotype" w:hAnsi="Palatino Linotype"/>
            <w:noProof/>
          </w:rPr>
          <w:t>8.</w:t>
        </w:r>
        <w:r w:rsidR="00757EF7" w:rsidRPr="007E2FBC">
          <w:rPr>
            <w:rFonts w:ascii="Calibri" w:hAnsi="Calibri"/>
            <w:noProof/>
            <w:kern w:val="0"/>
            <w:lang w:eastAsia="en-GB"/>
          </w:rPr>
          <w:tab/>
        </w:r>
        <w:r w:rsidR="00757EF7" w:rsidRPr="00C32692">
          <w:rPr>
            <w:rStyle w:val="Hyperlink"/>
            <w:rFonts w:ascii="Palatino Linotype" w:hAnsi="Palatino Linotype"/>
            <w:noProof/>
          </w:rPr>
          <w:t>PROVIDING THE SERVICES</w:t>
        </w:r>
        <w:r w:rsidR="00757EF7">
          <w:rPr>
            <w:noProof/>
            <w:webHidden/>
          </w:rPr>
          <w:tab/>
        </w:r>
        <w:r w:rsidR="00757EF7">
          <w:rPr>
            <w:noProof/>
            <w:webHidden/>
          </w:rPr>
          <w:fldChar w:fldCharType="begin"/>
        </w:r>
        <w:r w:rsidR="00757EF7">
          <w:rPr>
            <w:noProof/>
            <w:webHidden/>
          </w:rPr>
          <w:instrText xml:space="preserve"> PAGEREF _Toc326333196 \h </w:instrText>
        </w:r>
        <w:r w:rsidR="00757EF7">
          <w:rPr>
            <w:noProof/>
            <w:webHidden/>
          </w:rPr>
        </w:r>
        <w:r w:rsidR="00757EF7">
          <w:rPr>
            <w:noProof/>
            <w:webHidden/>
          </w:rPr>
          <w:fldChar w:fldCharType="separate"/>
        </w:r>
        <w:r w:rsidR="00D362E0">
          <w:rPr>
            <w:noProof/>
            <w:webHidden/>
          </w:rPr>
          <w:t>5</w:t>
        </w:r>
        <w:r w:rsidR="00757EF7">
          <w:rPr>
            <w:noProof/>
            <w:webHidden/>
          </w:rPr>
          <w:fldChar w:fldCharType="end"/>
        </w:r>
      </w:hyperlink>
    </w:p>
    <w:p w14:paraId="32735A1E" w14:textId="77777777" w:rsidR="00757EF7" w:rsidRPr="007E2FBC" w:rsidRDefault="00435437">
      <w:pPr>
        <w:pStyle w:val="TOC1"/>
        <w:rPr>
          <w:rFonts w:ascii="Calibri" w:hAnsi="Calibri"/>
          <w:noProof/>
          <w:kern w:val="0"/>
          <w:lang w:eastAsia="en-GB"/>
        </w:rPr>
      </w:pPr>
      <w:hyperlink w:anchor="_Toc326333197" w:history="1">
        <w:r w:rsidR="00757EF7" w:rsidRPr="00C32692">
          <w:rPr>
            <w:rStyle w:val="Hyperlink"/>
            <w:rFonts w:ascii="Palatino Linotype" w:hAnsi="Palatino Linotype"/>
            <w:noProof/>
          </w:rPr>
          <w:t>9.</w:t>
        </w:r>
        <w:r w:rsidR="00757EF7" w:rsidRPr="007E2FBC">
          <w:rPr>
            <w:rFonts w:ascii="Calibri" w:hAnsi="Calibri"/>
            <w:noProof/>
            <w:kern w:val="0"/>
            <w:lang w:eastAsia="en-GB"/>
          </w:rPr>
          <w:tab/>
        </w:r>
        <w:r w:rsidR="00757EF7" w:rsidRPr="00C32692">
          <w:rPr>
            <w:rStyle w:val="Hyperlink"/>
            <w:rFonts w:ascii="Palatino Linotype" w:hAnsi="Palatino Linotype"/>
            <w:noProof/>
          </w:rPr>
          <w:t>INTELLECTUAL PROPERTY RIGHTS</w:t>
        </w:r>
        <w:r w:rsidR="00757EF7">
          <w:rPr>
            <w:noProof/>
            <w:webHidden/>
          </w:rPr>
          <w:tab/>
        </w:r>
        <w:r w:rsidR="00757EF7">
          <w:rPr>
            <w:noProof/>
            <w:webHidden/>
          </w:rPr>
          <w:fldChar w:fldCharType="begin"/>
        </w:r>
        <w:r w:rsidR="00757EF7">
          <w:rPr>
            <w:noProof/>
            <w:webHidden/>
          </w:rPr>
          <w:instrText xml:space="preserve"> PAGEREF _Toc326333197 \h </w:instrText>
        </w:r>
        <w:r w:rsidR="00757EF7">
          <w:rPr>
            <w:noProof/>
            <w:webHidden/>
          </w:rPr>
        </w:r>
        <w:r w:rsidR="00757EF7">
          <w:rPr>
            <w:noProof/>
            <w:webHidden/>
          </w:rPr>
          <w:fldChar w:fldCharType="separate"/>
        </w:r>
        <w:r w:rsidR="00D362E0">
          <w:rPr>
            <w:noProof/>
            <w:webHidden/>
          </w:rPr>
          <w:t>5</w:t>
        </w:r>
        <w:r w:rsidR="00757EF7">
          <w:rPr>
            <w:noProof/>
            <w:webHidden/>
          </w:rPr>
          <w:fldChar w:fldCharType="end"/>
        </w:r>
      </w:hyperlink>
    </w:p>
    <w:p w14:paraId="0E54F65C" w14:textId="77777777" w:rsidR="00757EF7" w:rsidRPr="007E2FBC" w:rsidRDefault="00435437">
      <w:pPr>
        <w:pStyle w:val="TOC1"/>
        <w:rPr>
          <w:rFonts w:ascii="Calibri" w:hAnsi="Calibri"/>
          <w:noProof/>
          <w:kern w:val="0"/>
          <w:lang w:eastAsia="en-GB"/>
        </w:rPr>
      </w:pPr>
      <w:hyperlink w:anchor="_Toc326333198" w:history="1">
        <w:r w:rsidR="00757EF7" w:rsidRPr="00C32692">
          <w:rPr>
            <w:rStyle w:val="Hyperlink"/>
            <w:rFonts w:ascii="Palatino Linotype" w:hAnsi="Palatino Linotype"/>
            <w:noProof/>
          </w:rPr>
          <w:t>10.</w:t>
        </w:r>
        <w:r w:rsidR="00757EF7" w:rsidRPr="007E2FBC">
          <w:rPr>
            <w:rFonts w:ascii="Calibri" w:hAnsi="Calibri"/>
            <w:noProof/>
            <w:kern w:val="0"/>
            <w:lang w:eastAsia="en-GB"/>
          </w:rPr>
          <w:tab/>
        </w:r>
        <w:r w:rsidR="00757EF7" w:rsidRPr="00C32692">
          <w:rPr>
            <w:rStyle w:val="Hyperlink"/>
            <w:rFonts w:ascii="Palatino Linotype" w:hAnsi="Palatino Linotype"/>
            <w:noProof/>
          </w:rPr>
          <w:t>LIABILITY</w:t>
        </w:r>
        <w:r w:rsidR="00757EF7">
          <w:rPr>
            <w:noProof/>
            <w:webHidden/>
          </w:rPr>
          <w:tab/>
        </w:r>
        <w:r w:rsidR="00757EF7">
          <w:rPr>
            <w:noProof/>
            <w:webHidden/>
          </w:rPr>
          <w:fldChar w:fldCharType="begin"/>
        </w:r>
        <w:r w:rsidR="00757EF7">
          <w:rPr>
            <w:noProof/>
            <w:webHidden/>
          </w:rPr>
          <w:instrText xml:space="preserve"> PAGEREF _Toc326333198 \h </w:instrText>
        </w:r>
        <w:r w:rsidR="00757EF7">
          <w:rPr>
            <w:noProof/>
            <w:webHidden/>
          </w:rPr>
        </w:r>
        <w:r w:rsidR="00757EF7">
          <w:rPr>
            <w:noProof/>
            <w:webHidden/>
          </w:rPr>
          <w:fldChar w:fldCharType="separate"/>
        </w:r>
        <w:r w:rsidR="00D362E0">
          <w:rPr>
            <w:noProof/>
            <w:webHidden/>
          </w:rPr>
          <w:t>6</w:t>
        </w:r>
        <w:r w:rsidR="00757EF7">
          <w:rPr>
            <w:noProof/>
            <w:webHidden/>
          </w:rPr>
          <w:fldChar w:fldCharType="end"/>
        </w:r>
      </w:hyperlink>
    </w:p>
    <w:p w14:paraId="6C7BE982" w14:textId="77777777" w:rsidR="00757EF7" w:rsidRPr="007E2FBC" w:rsidRDefault="00435437">
      <w:pPr>
        <w:pStyle w:val="TOC1"/>
        <w:rPr>
          <w:rFonts w:ascii="Calibri" w:hAnsi="Calibri"/>
          <w:noProof/>
          <w:kern w:val="0"/>
          <w:lang w:eastAsia="en-GB"/>
        </w:rPr>
      </w:pPr>
      <w:hyperlink w:anchor="_Toc326333199" w:history="1">
        <w:r w:rsidR="00757EF7" w:rsidRPr="00C32692">
          <w:rPr>
            <w:rStyle w:val="Hyperlink"/>
            <w:rFonts w:ascii="Palatino Linotype" w:hAnsi="Palatino Linotype"/>
            <w:noProof/>
          </w:rPr>
          <w:t>11.</w:t>
        </w:r>
        <w:r w:rsidR="00757EF7" w:rsidRPr="007E2FBC">
          <w:rPr>
            <w:rFonts w:ascii="Calibri" w:hAnsi="Calibri"/>
            <w:noProof/>
            <w:kern w:val="0"/>
            <w:lang w:eastAsia="en-GB"/>
          </w:rPr>
          <w:tab/>
        </w:r>
        <w:r w:rsidR="00757EF7" w:rsidRPr="00C32692">
          <w:rPr>
            <w:rStyle w:val="Hyperlink"/>
            <w:rFonts w:ascii="Palatino Linotype" w:hAnsi="Palatino Linotype"/>
            <w:noProof/>
          </w:rPr>
          <w:t>FEES</w:t>
        </w:r>
        <w:r w:rsidR="00757EF7">
          <w:rPr>
            <w:noProof/>
            <w:webHidden/>
          </w:rPr>
          <w:tab/>
        </w:r>
        <w:r w:rsidR="00757EF7">
          <w:rPr>
            <w:noProof/>
            <w:webHidden/>
          </w:rPr>
          <w:fldChar w:fldCharType="begin"/>
        </w:r>
        <w:r w:rsidR="00757EF7">
          <w:rPr>
            <w:noProof/>
            <w:webHidden/>
          </w:rPr>
          <w:instrText xml:space="preserve"> PAGEREF _Toc326333199 \h </w:instrText>
        </w:r>
        <w:r w:rsidR="00757EF7">
          <w:rPr>
            <w:noProof/>
            <w:webHidden/>
          </w:rPr>
        </w:r>
        <w:r w:rsidR="00757EF7">
          <w:rPr>
            <w:noProof/>
            <w:webHidden/>
          </w:rPr>
          <w:fldChar w:fldCharType="separate"/>
        </w:r>
        <w:r w:rsidR="00D362E0">
          <w:rPr>
            <w:noProof/>
            <w:webHidden/>
          </w:rPr>
          <w:t>6</w:t>
        </w:r>
        <w:r w:rsidR="00757EF7">
          <w:rPr>
            <w:noProof/>
            <w:webHidden/>
          </w:rPr>
          <w:fldChar w:fldCharType="end"/>
        </w:r>
      </w:hyperlink>
    </w:p>
    <w:p w14:paraId="68BA0201" w14:textId="77777777" w:rsidR="00757EF7" w:rsidRPr="007E2FBC" w:rsidRDefault="00435437">
      <w:pPr>
        <w:pStyle w:val="TOC1"/>
        <w:rPr>
          <w:rFonts w:ascii="Calibri" w:hAnsi="Calibri"/>
          <w:noProof/>
          <w:kern w:val="0"/>
          <w:lang w:eastAsia="en-GB"/>
        </w:rPr>
      </w:pPr>
      <w:hyperlink w:anchor="_Toc326333200" w:history="1">
        <w:r w:rsidR="00757EF7" w:rsidRPr="00C32692">
          <w:rPr>
            <w:rStyle w:val="Hyperlink"/>
            <w:rFonts w:ascii="Palatino Linotype" w:hAnsi="Palatino Linotype"/>
            <w:noProof/>
          </w:rPr>
          <w:t>12.</w:t>
        </w:r>
        <w:r w:rsidR="00757EF7" w:rsidRPr="007E2FBC">
          <w:rPr>
            <w:rFonts w:ascii="Calibri" w:hAnsi="Calibri"/>
            <w:noProof/>
            <w:kern w:val="0"/>
            <w:lang w:eastAsia="en-GB"/>
          </w:rPr>
          <w:tab/>
        </w:r>
        <w:r w:rsidR="00757EF7" w:rsidRPr="00C32692">
          <w:rPr>
            <w:rStyle w:val="Hyperlink"/>
            <w:rFonts w:ascii="Palatino Linotype" w:hAnsi="Palatino Linotype"/>
            <w:noProof/>
          </w:rPr>
          <w:t>BILLING, PAYMENT AND INTEREST</w:t>
        </w:r>
        <w:r w:rsidR="00757EF7">
          <w:rPr>
            <w:noProof/>
            <w:webHidden/>
          </w:rPr>
          <w:tab/>
        </w:r>
        <w:r w:rsidR="00757EF7">
          <w:rPr>
            <w:noProof/>
            <w:webHidden/>
          </w:rPr>
          <w:fldChar w:fldCharType="begin"/>
        </w:r>
        <w:r w:rsidR="00757EF7">
          <w:rPr>
            <w:noProof/>
            <w:webHidden/>
          </w:rPr>
          <w:instrText xml:space="preserve"> PAGEREF _Toc326333200 \h </w:instrText>
        </w:r>
        <w:r w:rsidR="00757EF7">
          <w:rPr>
            <w:noProof/>
            <w:webHidden/>
          </w:rPr>
        </w:r>
        <w:r w:rsidR="00757EF7">
          <w:rPr>
            <w:noProof/>
            <w:webHidden/>
          </w:rPr>
          <w:fldChar w:fldCharType="separate"/>
        </w:r>
        <w:r w:rsidR="00D362E0">
          <w:rPr>
            <w:noProof/>
            <w:webHidden/>
          </w:rPr>
          <w:t>7</w:t>
        </w:r>
        <w:r w:rsidR="00757EF7">
          <w:rPr>
            <w:noProof/>
            <w:webHidden/>
          </w:rPr>
          <w:fldChar w:fldCharType="end"/>
        </w:r>
      </w:hyperlink>
    </w:p>
    <w:p w14:paraId="42EBE237" w14:textId="77777777" w:rsidR="00757EF7" w:rsidRPr="007E2FBC" w:rsidRDefault="00435437">
      <w:pPr>
        <w:pStyle w:val="TOC1"/>
        <w:rPr>
          <w:rFonts w:ascii="Calibri" w:hAnsi="Calibri"/>
          <w:noProof/>
          <w:kern w:val="0"/>
          <w:lang w:eastAsia="en-GB"/>
        </w:rPr>
      </w:pPr>
      <w:hyperlink w:anchor="_Toc326333201" w:history="1">
        <w:r w:rsidR="00757EF7" w:rsidRPr="00C32692">
          <w:rPr>
            <w:rStyle w:val="Hyperlink"/>
            <w:rFonts w:ascii="Palatino Linotype" w:hAnsi="Palatino Linotype"/>
            <w:noProof/>
          </w:rPr>
          <w:t>13.</w:t>
        </w:r>
        <w:r w:rsidR="00757EF7" w:rsidRPr="007E2FBC">
          <w:rPr>
            <w:rFonts w:ascii="Calibri" w:hAnsi="Calibri"/>
            <w:noProof/>
            <w:kern w:val="0"/>
            <w:lang w:eastAsia="en-GB"/>
          </w:rPr>
          <w:tab/>
        </w:r>
        <w:r w:rsidR="00757EF7" w:rsidRPr="00C32692">
          <w:rPr>
            <w:rStyle w:val="Hyperlink"/>
            <w:rFonts w:ascii="Palatino Linotype" w:hAnsi="Palatino Linotype"/>
            <w:noProof/>
          </w:rPr>
          <w:t>TERMINATION</w:t>
        </w:r>
        <w:r w:rsidR="00757EF7">
          <w:rPr>
            <w:noProof/>
            <w:webHidden/>
          </w:rPr>
          <w:tab/>
        </w:r>
        <w:r w:rsidR="00757EF7">
          <w:rPr>
            <w:noProof/>
            <w:webHidden/>
          </w:rPr>
          <w:fldChar w:fldCharType="begin"/>
        </w:r>
        <w:r w:rsidR="00757EF7">
          <w:rPr>
            <w:noProof/>
            <w:webHidden/>
          </w:rPr>
          <w:instrText xml:space="preserve"> PAGEREF _Toc326333201 \h </w:instrText>
        </w:r>
        <w:r w:rsidR="00757EF7">
          <w:rPr>
            <w:noProof/>
            <w:webHidden/>
          </w:rPr>
        </w:r>
        <w:r w:rsidR="00757EF7">
          <w:rPr>
            <w:noProof/>
            <w:webHidden/>
          </w:rPr>
          <w:fldChar w:fldCharType="separate"/>
        </w:r>
        <w:r w:rsidR="00D362E0">
          <w:rPr>
            <w:noProof/>
            <w:webHidden/>
          </w:rPr>
          <w:t>7</w:t>
        </w:r>
        <w:r w:rsidR="00757EF7">
          <w:rPr>
            <w:noProof/>
            <w:webHidden/>
          </w:rPr>
          <w:fldChar w:fldCharType="end"/>
        </w:r>
      </w:hyperlink>
    </w:p>
    <w:p w14:paraId="6E522980" w14:textId="77777777" w:rsidR="00757EF7" w:rsidRPr="007E2FBC" w:rsidRDefault="00435437">
      <w:pPr>
        <w:pStyle w:val="TOC1"/>
        <w:rPr>
          <w:rFonts w:ascii="Calibri" w:hAnsi="Calibri"/>
          <w:noProof/>
          <w:kern w:val="0"/>
          <w:lang w:eastAsia="en-GB"/>
        </w:rPr>
      </w:pPr>
      <w:hyperlink w:anchor="_Toc326333202" w:history="1">
        <w:r w:rsidR="00757EF7" w:rsidRPr="00C32692">
          <w:rPr>
            <w:rStyle w:val="Hyperlink"/>
            <w:rFonts w:ascii="Palatino Linotype" w:hAnsi="Palatino Linotype"/>
            <w:noProof/>
          </w:rPr>
          <w:t>14.</w:t>
        </w:r>
        <w:r w:rsidR="00757EF7" w:rsidRPr="007E2FBC">
          <w:rPr>
            <w:rFonts w:ascii="Calibri" w:hAnsi="Calibri"/>
            <w:noProof/>
            <w:kern w:val="0"/>
            <w:lang w:eastAsia="en-GB"/>
          </w:rPr>
          <w:tab/>
        </w:r>
        <w:r w:rsidR="00757EF7" w:rsidRPr="00C32692">
          <w:rPr>
            <w:rStyle w:val="Hyperlink"/>
            <w:rFonts w:ascii="Palatino Linotype" w:hAnsi="Palatino Linotype"/>
            <w:noProof/>
          </w:rPr>
          <w:t>WAIVER</w:t>
        </w:r>
        <w:r w:rsidR="00757EF7">
          <w:rPr>
            <w:noProof/>
            <w:webHidden/>
          </w:rPr>
          <w:tab/>
        </w:r>
        <w:r w:rsidR="00757EF7">
          <w:rPr>
            <w:noProof/>
            <w:webHidden/>
          </w:rPr>
          <w:fldChar w:fldCharType="begin"/>
        </w:r>
        <w:r w:rsidR="00757EF7">
          <w:rPr>
            <w:noProof/>
            <w:webHidden/>
          </w:rPr>
          <w:instrText xml:space="preserve"> PAGEREF _Toc326333202 \h </w:instrText>
        </w:r>
        <w:r w:rsidR="00757EF7">
          <w:rPr>
            <w:noProof/>
            <w:webHidden/>
          </w:rPr>
        </w:r>
        <w:r w:rsidR="00757EF7">
          <w:rPr>
            <w:noProof/>
            <w:webHidden/>
          </w:rPr>
          <w:fldChar w:fldCharType="separate"/>
        </w:r>
        <w:r w:rsidR="00D362E0">
          <w:rPr>
            <w:noProof/>
            <w:webHidden/>
          </w:rPr>
          <w:t>8</w:t>
        </w:r>
        <w:r w:rsidR="00757EF7">
          <w:rPr>
            <w:noProof/>
            <w:webHidden/>
          </w:rPr>
          <w:fldChar w:fldCharType="end"/>
        </w:r>
      </w:hyperlink>
    </w:p>
    <w:p w14:paraId="610F0550" w14:textId="77777777" w:rsidR="00757EF7" w:rsidRPr="007E2FBC" w:rsidRDefault="00435437">
      <w:pPr>
        <w:pStyle w:val="TOC1"/>
        <w:rPr>
          <w:rFonts w:ascii="Calibri" w:hAnsi="Calibri"/>
          <w:noProof/>
          <w:kern w:val="0"/>
          <w:lang w:eastAsia="en-GB"/>
        </w:rPr>
      </w:pPr>
      <w:hyperlink w:anchor="_Toc326333203" w:history="1">
        <w:r w:rsidR="00757EF7" w:rsidRPr="00C32692">
          <w:rPr>
            <w:rStyle w:val="Hyperlink"/>
            <w:rFonts w:ascii="Palatino Linotype" w:hAnsi="Palatino Linotype"/>
            <w:noProof/>
          </w:rPr>
          <w:t>15.</w:t>
        </w:r>
        <w:r w:rsidR="00757EF7" w:rsidRPr="007E2FBC">
          <w:rPr>
            <w:rFonts w:ascii="Calibri" w:hAnsi="Calibri"/>
            <w:noProof/>
            <w:kern w:val="0"/>
            <w:lang w:eastAsia="en-GB"/>
          </w:rPr>
          <w:tab/>
        </w:r>
        <w:r w:rsidR="00757EF7" w:rsidRPr="00C32692">
          <w:rPr>
            <w:rStyle w:val="Hyperlink"/>
            <w:rFonts w:ascii="Palatino Linotype" w:hAnsi="Palatino Linotype"/>
            <w:noProof/>
          </w:rPr>
          <w:t>SEVERABILITY</w:t>
        </w:r>
        <w:r w:rsidR="00757EF7">
          <w:rPr>
            <w:noProof/>
            <w:webHidden/>
          </w:rPr>
          <w:tab/>
        </w:r>
        <w:r w:rsidR="00757EF7">
          <w:rPr>
            <w:noProof/>
            <w:webHidden/>
          </w:rPr>
          <w:fldChar w:fldCharType="begin"/>
        </w:r>
        <w:r w:rsidR="00757EF7">
          <w:rPr>
            <w:noProof/>
            <w:webHidden/>
          </w:rPr>
          <w:instrText xml:space="preserve"> PAGEREF _Toc326333203 \h </w:instrText>
        </w:r>
        <w:r w:rsidR="00757EF7">
          <w:rPr>
            <w:noProof/>
            <w:webHidden/>
          </w:rPr>
        </w:r>
        <w:r w:rsidR="00757EF7">
          <w:rPr>
            <w:noProof/>
            <w:webHidden/>
          </w:rPr>
          <w:fldChar w:fldCharType="separate"/>
        </w:r>
        <w:r w:rsidR="00D362E0">
          <w:rPr>
            <w:noProof/>
            <w:webHidden/>
          </w:rPr>
          <w:t>8</w:t>
        </w:r>
        <w:r w:rsidR="00757EF7">
          <w:rPr>
            <w:noProof/>
            <w:webHidden/>
          </w:rPr>
          <w:fldChar w:fldCharType="end"/>
        </w:r>
      </w:hyperlink>
    </w:p>
    <w:p w14:paraId="184BCAF9" w14:textId="77777777" w:rsidR="00757EF7" w:rsidRPr="007E2FBC" w:rsidRDefault="00435437">
      <w:pPr>
        <w:pStyle w:val="TOC1"/>
        <w:rPr>
          <w:rFonts w:ascii="Calibri" w:hAnsi="Calibri"/>
          <w:noProof/>
          <w:kern w:val="0"/>
          <w:lang w:eastAsia="en-GB"/>
        </w:rPr>
      </w:pPr>
      <w:hyperlink w:anchor="_Toc326333204" w:history="1">
        <w:r w:rsidR="00757EF7" w:rsidRPr="00C32692">
          <w:rPr>
            <w:rStyle w:val="Hyperlink"/>
            <w:rFonts w:ascii="Palatino Linotype" w:hAnsi="Palatino Linotype"/>
            <w:noProof/>
          </w:rPr>
          <w:t>16.</w:t>
        </w:r>
        <w:r w:rsidR="00757EF7" w:rsidRPr="007E2FBC">
          <w:rPr>
            <w:rFonts w:ascii="Calibri" w:hAnsi="Calibri"/>
            <w:noProof/>
            <w:kern w:val="0"/>
            <w:lang w:eastAsia="en-GB"/>
          </w:rPr>
          <w:tab/>
        </w:r>
        <w:r w:rsidR="00757EF7" w:rsidRPr="00C32692">
          <w:rPr>
            <w:rStyle w:val="Hyperlink"/>
            <w:rFonts w:ascii="Palatino Linotype" w:hAnsi="Palatino Linotype"/>
            <w:noProof/>
          </w:rPr>
          <w:t>EXCLUSION OF RIGHTS OF THIRD PARTIES</w:t>
        </w:r>
        <w:r w:rsidR="00757EF7">
          <w:rPr>
            <w:noProof/>
            <w:webHidden/>
          </w:rPr>
          <w:tab/>
        </w:r>
        <w:r w:rsidR="00757EF7">
          <w:rPr>
            <w:noProof/>
            <w:webHidden/>
          </w:rPr>
          <w:fldChar w:fldCharType="begin"/>
        </w:r>
        <w:r w:rsidR="00757EF7">
          <w:rPr>
            <w:noProof/>
            <w:webHidden/>
          </w:rPr>
          <w:instrText xml:space="preserve"> PAGEREF _Toc326333204 \h </w:instrText>
        </w:r>
        <w:r w:rsidR="00757EF7">
          <w:rPr>
            <w:noProof/>
            <w:webHidden/>
          </w:rPr>
        </w:r>
        <w:r w:rsidR="00757EF7">
          <w:rPr>
            <w:noProof/>
            <w:webHidden/>
          </w:rPr>
          <w:fldChar w:fldCharType="separate"/>
        </w:r>
        <w:r w:rsidR="00D362E0">
          <w:rPr>
            <w:noProof/>
            <w:webHidden/>
          </w:rPr>
          <w:t>8</w:t>
        </w:r>
        <w:r w:rsidR="00757EF7">
          <w:rPr>
            <w:noProof/>
            <w:webHidden/>
          </w:rPr>
          <w:fldChar w:fldCharType="end"/>
        </w:r>
      </w:hyperlink>
    </w:p>
    <w:p w14:paraId="2EB65E11" w14:textId="77777777" w:rsidR="00757EF7" w:rsidRPr="007E2FBC" w:rsidRDefault="00435437">
      <w:pPr>
        <w:pStyle w:val="TOC1"/>
        <w:rPr>
          <w:rFonts w:ascii="Calibri" w:hAnsi="Calibri"/>
          <w:noProof/>
          <w:kern w:val="0"/>
          <w:lang w:eastAsia="en-GB"/>
        </w:rPr>
      </w:pPr>
      <w:hyperlink w:anchor="_Toc326333205" w:history="1">
        <w:r w:rsidR="00757EF7" w:rsidRPr="00C32692">
          <w:rPr>
            <w:rStyle w:val="Hyperlink"/>
            <w:rFonts w:ascii="Palatino Linotype" w:hAnsi="Palatino Linotype"/>
            <w:noProof/>
          </w:rPr>
          <w:t>17.</w:t>
        </w:r>
        <w:r w:rsidR="00757EF7" w:rsidRPr="007E2FBC">
          <w:rPr>
            <w:rFonts w:ascii="Calibri" w:hAnsi="Calibri"/>
            <w:noProof/>
            <w:kern w:val="0"/>
            <w:lang w:eastAsia="en-GB"/>
          </w:rPr>
          <w:tab/>
        </w:r>
        <w:r w:rsidR="00757EF7" w:rsidRPr="00C32692">
          <w:rPr>
            <w:rStyle w:val="Hyperlink"/>
            <w:rFonts w:ascii="Palatino Linotype" w:hAnsi="Palatino Linotype"/>
            <w:noProof/>
          </w:rPr>
          <w:t>ENTIRE AGREEMENT</w:t>
        </w:r>
        <w:r w:rsidR="00757EF7">
          <w:rPr>
            <w:noProof/>
            <w:webHidden/>
          </w:rPr>
          <w:tab/>
        </w:r>
        <w:r w:rsidR="00757EF7">
          <w:rPr>
            <w:noProof/>
            <w:webHidden/>
          </w:rPr>
          <w:fldChar w:fldCharType="begin"/>
        </w:r>
        <w:r w:rsidR="00757EF7">
          <w:rPr>
            <w:noProof/>
            <w:webHidden/>
          </w:rPr>
          <w:instrText xml:space="preserve"> PAGEREF _Toc326333205 \h </w:instrText>
        </w:r>
        <w:r w:rsidR="00757EF7">
          <w:rPr>
            <w:noProof/>
            <w:webHidden/>
          </w:rPr>
        </w:r>
        <w:r w:rsidR="00757EF7">
          <w:rPr>
            <w:noProof/>
            <w:webHidden/>
          </w:rPr>
          <w:fldChar w:fldCharType="separate"/>
        </w:r>
        <w:r w:rsidR="00D362E0">
          <w:rPr>
            <w:noProof/>
            <w:webHidden/>
          </w:rPr>
          <w:t>8</w:t>
        </w:r>
        <w:r w:rsidR="00757EF7">
          <w:rPr>
            <w:noProof/>
            <w:webHidden/>
          </w:rPr>
          <w:fldChar w:fldCharType="end"/>
        </w:r>
      </w:hyperlink>
    </w:p>
    <w:p w14:paraId="25438114" w14:textId="77777777" w:rsidR="00757EF7" w:rsidRPr="007E2FBC" w:rsidRDefault="00435437">
      <w:pPr>
        <w:pStyle w:val="TOC1"/>
        <w:rPr>
          <w:rFonts w:ascii="Calibri" w:hAnsi="Calibri"/>
          <w:noProof/>
          <w:kern w:val="0"/>
          <w:lang w:eastAsia="en-GB"/>
        </w:rPr>
      </w:pPr>
      <w:hyperlink w:anchor="_Toc326333206" w:history="1">
        <w:r w:rsidR="00757EF7" w:rsidRPr="00C32692">
          <w:rPr>
            <w:rStyle w:val="Hyperlink"/>
            <w:rFonts w:ascii="Palatino Linotype" w:hAnsi="Palatino Linotype"/>
            <w:noProof/>
          </w:rPr>
          <w:t>18.</w:t>
        </w:r>
        <w:r w:rsidR="00757EF7" w:rsidRPr="007E2FBC">
          <w:rPr>
            <w:rFonts w:ascii="Calibri" w:hAnsi="Calibri"/>
            <w:noProof/>
            <w:kern w:val="0"/>
            <w:lang w:eastAsia="en-GB"/>
          </w:rPr>
          <w:tab/>
        </w:r>
        <w:r w:rsidR="00757EF7" w:rsidRPr="00C32692">
          <w:rPr>
            <w:rStyle w:val="Hyperlink"/>
            <w:rFonts w:ascii="Palatino Linotype" w:hAnsi="Palatino Linotype"/>
            <w:noProof/>
          </w:rPr>
          <w:t>NOTICES AND DELIVERY</w:t>
        </w:r>
        <w:r w:rsidR="00757EF7">
          <w:rPr>
            <w:noProof/>
            <w:webHidden/>
          </w:rPr>
          <w:tab/>
        </w:r>
        <w:r w:rsidR="00757EF7">
          <w:rPr>
            <w:noProof/>
            <w:webHidden/>
          </w:rPr>
          <w:fldChar w:fldCharType="begin"/>
        </w:r>
        <w:r w:rsidR="00757EF7">
          <w:rPr>
            <w:noProof/>
            <w:webHidden/>
          </w:rPr>
          <w:instrText xml:space="preserve"> PAGEREF _Toc326333206 \h </w:instrText>
        </w:r>
        <w:r w:rsidR="00757EF7">
          <w:rPr>
            <w:noProof/>
            <w:webHidden/>
          </w:rPr>
        </w:r>
        <w:r w:rsidR="00757EF7">
          <w:rPr>
            <w:noProof/>
            <w:webHidden/>
          </w:rPr>
          <w:fldChar w:fldCharType="separate"/>
        </w:r>
        <w:r w:rsidR="00D362E0">
          <w:rPr>
            <w:noProof/>
            <w:webHidden/>
          </w:rPr>
          <w:t>8</w:t>
        </w:r>
        <w:r w:rsidR="00757EF7">
          <w:rPr>
            <w:noProof/>
            <w:webHidden/>
          </w:rPr>
          <w:fldChar w:fldCharType="end"/>
        </w:r>
      </w:hyperlink>
    </w:p>
    <w:p w14:paraId="29BB9A02" w14:textId="77777777" w:rsidR="00757EF7" w:rsidRPr="007E2FBC" w:rsidRDefault="00435437">
      <w:pPr>
        <w:pStyle w:val="TOC1"/>
        <w:rPr>
          <w:rFonts w:ascii="Calibri" w:hAnsi="Calibri"/>
          <w:noProof/>
          <w:kern w:val="0"/>
          <w:lang w:eastAsia="en-GB"/>
        </w:rPr>
      </w:pPr>
      <w:hyperlink w:anchor="_Toc326333207" w:history="1">
        <w:r w:rsidR="00757EF7" w:rsidRPr="00C32692">
          <w:rPr>
            <w:rStyle w:val="Hyperlink"/>
            <w:rFonts w:ascii="Palatino Linotype" w:hAnsi="Palatino Linotype"/>
            <w:noProof/>
          </w:rPr>
          <w:t>19.</w:t>
        </w:r>
        <w:r w:rsidR="00757EF7" w:rsidRPr="007E2FBC">
          <w:rPr>
            <w:rFonts w:ascii="Calibri" w:hAnsi="Calibri"/>
            <w:noProof/>
            <w:kern w:val="0"/>
            <w:lang w:eastAsia="en-GB"/>
          </w:rPr>
          <w:tab/>
        </w:r>
        <w:r w:rsidR="00757EF7" w:rsidRPr="00C32692">
          <w:rPr>
            <w:rStyle w:val="Hyperlink"/>
            <w:rFonts w:ascii="Palatino Linotype" w:hAnsi="Palatino Linotype"/>
            <w:noProof/>
          </w:rPr>
          <w:t>GOVERNING LAW AND JURISDICTION</w:t>
        </w:r>
        <w:r w:rsidR="00757EF7">
          <w:rPr>
            <w:noProof/>
            <w:webHidden/>
          </w:rPr>
          <w:tab/>
        </w:r>
        <w:r w:rsidR="00757EF7">
          <w:rPr>
            <w:noProof/>
            <w:webHidden/>
          </w:rPr>
          <w:fldChar w:fldCharType="begin"/>
        </w:r>
        <w:r w:rsidR="00757EF7">
          <w:rPr>
            <w:noProof/>
            <w:webHidden/>
          </w:rPr>
          <w:instrText xml:space="preserve"> PAGEREF _Toc326333207 \h </w:instrText>
        </w:r>
        <w:r w:rsidR="00757EF7">
          <w:rPr>
            <w:noProof/>
            <w:webHidden/>
          </w:rPr>
        </w:r>
        <w:r w:rsidR="00757EF7">
          <w:rPr>
            <w:noProof/>
            <w:webHidden/>
          </w:rPr>
          <w:fldChar w:fldCharType="separate"/>
        </w:r>
        <w:r w:rsidR="00D362E0">
          <w:rPr>
            <w:noProof/>
            <w:webHidden/>
          </w:rPr>
          <w:t>9</w:t>
        </w:r>
        <w:r w:rsidR="00757EF7">
          <w:rPr>
            <w:noProof/>
            <w:webHidden/>
          </w:rPr>
          <w:fldChar w:fldCharType="end"/>
        </w:r>
      </w:hyperlink>
    </w:p>
    <w:p w14:paraId="1D100BFB" w14:textId="77777777" w:rsidR="00757EF7" w:rsidRPr="003E5B51" w:rsidRDefault="00757EF7" w:rsidP="008D75CE">
      <w:pPr>
        <w:rPr>
          <w:rFonts w:ascii="Palatino Linotype" w:hAnsi="Palatino Linotype"/>
        </w:rPr>
      </w:pPr>
      <w:r w:rsidRPr="003E5B51">
        <w:rPr>
          <w:rFonts w:ascii="Palatino Linotype" w:hAnsi="Palatino Linotype"/>
        </w:rPr>
        <w:fldChar w:fldCharType="end"/>
      </w:r>
    </w:p>
    <w:p w14:paraId="3C45A418" w14:textId="77777777" w:rsidR="00757EF7" w:rsidRPr="003E5B51" w:rsidRDefault="00757EF7" w:rsidP="008D75CE">
      <w:pPr>
        <w:rPr>
          <w:rFonts w:ascii="Palatino Linotype" w:hAnsi="Palatino Linotype"/>
        </w:rPr>
        <w:sectPr w:rsidR="00757EF7" w:rsidRPr="003E5B51" w:rsidSect="0094608B">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191" w:header="709" w:footer="709" w:gutter="0"/>
          <w:pgNumType w:start="0"/>
          <w:cols w:space="708"/>
          <w:titlePg/>
          <w:docGrid w:linePitch="360"/>
        </w:sectPr>
      </w:pPr>
    </w:p>
    <w:p w14:paraId="56B511CC" w14:textId="77777777" w:rsidR="00757EF7" w:rsidRPr="003E5B51" w:rsidRDefault="00757EF7" w:rsidP="008D75CE">
      <w:pPr>
        <w:pStyle w:val="Heading1"/>
        <w:rPr>
          <w:rFonts w:ascii="Palatino Linotype" w:hAnsi="Palatino Linotype"/>
          <w:sz w:val="22"/>
        </w:rPr>
      </w:pPr>
      <w:r w:rsidRPr="003E5B51">
        <w:rPr>
          <w:rFonts w:ascii="Palatino Linotype" w:hAnsi="Palatino Linotype"/>
          <w:sz w:val="22"/>
        </w:rPr>
        <w:lastRenderedPageBreak/>
        <w:t xml:space="preserve">Standard Conditions of Contract For The Supply Of Legal Services By Barristers To </w:t>
      </w:r>
      <w:proofErr w:type="spellStart"/>
      <w:r>
        <w:rPr>
          <w:rFonts w:ascii="Palatino Linotype" w:hAnsi="Palatino Linotype"/>
          <w:sz w:val="22"/>
        </w:rPr>
        <w:t>Authorised</w:t>
      </w:r>
      <w:proofErr w:type="spellEnd"/>
      <w:r>
        <w:rPr>
          <w:rFonts w:ascii="Palatino Linotype" w:hAnsi="Palatino Linotype"/>
          <w:sz w:val="22"/>
        </w:rPr>
        <w:t xml:space="preserve"> Persons </w:t>
      </w:r>
      <w:r w:rsidRPr="003E5B51">
        <w:rPr>
          <w:rFonts w:ascii="Palatino Linotype" w:hAnsi="Palatino Linotype"/>
          <w:sz w:val="22"/>
          <w:szCs w:val="22"/>
        </w:rPr>
        <w:t>201</w:t>
      </w:r>
      <w:r>
        <w:rPr>
          <w:rFonts w:ascii="Palatino Linotype" w:hAnsi="Palatino Linotype"/>
          <w:sz w:val="22"/>
          <w:szCs w:val="22"/>
        </w:rPr>
        <w:t>2</w:t>
      </w:r>
    </w:p>
    <w:p w14:paraId="7B789A38" w14:textId="77777777" w:rsidR="00757EF7" w:rsidRPr="003E5B51" w:rsidRDefault="00757EF7" w:rsidP="008D75CE">
      <w:pPr>
        <w:rPr>
          <w:rFonts w:ascii="Palatino Linotype" w:hAnsi="Palatino Linotype"/>
        </w:rPr>
      </w:pPr>
    </w:p>
    <w:p w14:paraId="5CC151C0" w14:textId="77777777" w:rsidR="00757EF7" w:rsidRPr="003E5B51" w:rsidRDefault="00757EF7" w:rsidP="008D75CE">
      <w:pPr>
        <w:pStyle w:val="Heading2"/>
        <w:numPr>
          <w:ilvl w:val="0"/>
          <w:numId w:val="14"/>
        </w:numPr>
        <w:rPr>
          <w:rFonts w:ascii="Palatino Linotype" w:hAnsi="Palatino Linotype"/>
        </w:rPr>
      </w:pPr>
      <w:bookmarkStart w:id="0" w:name="_Toc326333189"/>
      <w:r w:rsidRPr="003E5B51">
        <w:rPr>
          <w:rFonts w:ascii="Palatino Linotype" w:hAnsi="Palatino Linotype"/>
        </w:rPr>
        <w:t xml:space="preserve">DEFINITIONS </w:t>
      </w:r>
      <w:smartTag w:uri="urn:schemas-microsoft-com:office:smarttags" w:element="stockticker">
        <w:r w:rsidRPr="003E5B51">
          <w:rPr>
            <w:rFonts w:ascii="Palatino Linotype" w:hAnsi="Palatino Linotype"/>
          </w:rPr>
          <w:t>AND</w:t>
        </w:r>
      </w:smartTag>
      <w:r w:rsidRPr="003E5B51">
        <w:rPr>
          <w:rFonts w:ascii="Palatino Linotype" w:hAnsi="Palatino Linotype"/>
        </w:rPr>
        <w:t xml:space="preserve"> INTERPRETATION</w:t>
      </w:r>
      <w:bookmarkEnd w:id="0"/>
    </w:p>
    <w:p w14:paraId="7F6A12E1"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In these Conditions of Contract for the Supply of Services by Barristers to </w:t>
      </w:r>
      <w:r>
        <w:rPr>
          <w:rFonts w:ascii="Palatino Linotype" w:hAnsi="Palatino Linotype"/>
        </w:rPr>
        <w:t xml:space="preserve">Authorised Persons (as defined below) </w:t>
      </w:r>
      <w:r w:rsidRPr="003E5B51">
        <w:rPr>
          <w:rFonts w:ascii="Palatino Linotype" w:hAnsi="Palatino Linotype"/>
        </w:rPr>
        <w:t>(“the Conditions”):</w:t>
      </w:r>
    </w:p>
    <w:p w14:paraId="236343AB"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reference to a clause is to the relevant clause of these Conditions;</w:t>
      </w:r>
    </w:p>
    <w:p w14:paraId="3227A966"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headings are included for convenience only and do not affect the interpretation of these Conditions;</w:t>
      </w:r>
    </w:p>
    <w:p w14:paraId="369A8353"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references to “parties” or a “party” are references to the parties or a party to the Agreement;</w:t>
      </w:r>
    </w:p>
    <w:p w14:paraId="60ACD5C0"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references to the masculine include the feminine and references to the singular include the plural and vice versa in each case;</w:t>
      </w:r>
    </w:p>
    <w:p w14:paraId="61911558"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 xml:space="preserve">references to a person include bodies corporate (including limited liability partnerships) and partnerships, in each case whether or not having a separate legal personality, except where the context requires </w:t>
      </w:r>
      <w:proofErr w:type="gramStart"/>
      <w:r w:rsidRPr="003E5B51">
        <w:rPr>
          <w:rFonts w:ascii="Palatino Linotype" w:hAnsi="Palatino Linotype"/>
        </w:rPr>
        <w:t>otherwise;</w:t>
      </w:r>
      <w:proofErr w:type="gramEnd"/>
    </w:p>
    <w:p w14:paraId="15ECAEB5"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 xml:space="preserve">references to an Act of Parliament, statutory provision or statutory instrument include a reference to that Act of Parliament, statutory provision or statutory instrument as amended, extended or re-enacted from time to time and to any regulations made under it; </w:t>
      </w:r>
    </w:p>
    <w:p w14:paraId="33F71226"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references to any provision of the Code include references to that provision as amended replaced or renumbered from time to time; and</w:t>
      </w:r>
    </w:p>
    <w:p w14:paraId="287FFEB8"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references to a person or body include references to its successor.</w:t>
      </w:r>
    </w:p>
    <w:p w14:paraId="515B9430"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In these Conditions, the following words have the following meanings, except where the context requires otherwise:-</w:t>
      </w:r>
    </w:p>
    <w:p w14:paraId="4150C9E2" w14:textId="77777777" w:rsidR="00757EF7" w:rsidRPr="003E5B51" w:rsidRDefault="00757EF7" w:rsidP="008D75CE">
      <w:pPr>
        <w:keepNext/>
        <w:ind w:firstLine="0"/>
        <w:rPr>
          <w:rFonts w:ascii="Palatino Linotype" w:hAnsi="Palatino Linotype"/>
        </w:rPr>
      </w:pPr>
      <w:r w:rsidRPr="003E5B51">
        <w:rPr>
          <w:rFonts w:ascii="Palatino Linotype" w:hAnsi="Palatino Linotype"/>
        </w:rPr>
        <w:t>“the Agreement”</w:t>
      </w:r>
    </w:p>
    <w:p w14:paraId="535DB1C7" w14:textId="77777777" w:rsidR="00757EF7" w:rsidRPr="003E5B51" w:rsidRDefault="00757EF7" w:rsidP="008D75CE">
      <w:pPr>
        <w:ind w:left="1702" w:firstLine="0"/>
        <w:rPr>
          <w:rFonts w:ascii="Palatino Linotype" w:hAnsi="Palatino Linotype"/>
        </w:rPr>
      </w:pPr>
      <w:r w:rsidRPr="003E5B51">
        <w:rPr>
          <w:rFonts w:ascii="Palatino Linotype" w:hAnsi="Palatino Linotype"/>
        </w:rPr>
        <w:t xml:space="preserve">the agreement between the Barrister and the </w:t>
      </w:r>
      <w:r>
        <w:rPr>
          <w:rFonts w:ascii="Palatino Linotype" w:hAnsi="Palatino Linotype"/>
        </w:rPr>
        <w:t>Authorised Person</w:t>
      </w:r>
      <w:r w:rsidRPr="003E5B51">
        <w:rPr>
          <w:rFonts w:ascii="Palatino Linotype" w:hAnsi="Palatino Linotype"/>
        </w:rPr>
        <w:t xml:space="preserve"> for the Barrister to provide the Services on the terms set out in these Conditions;</w:t>
      </w:r>
    </w:p>
    <w:p w14:paraId="4C79EE7E" w14:textId="77777777" w:rsidR="00757EF7" w:rsidRPr="003E5B51" w:rsidRDefault="00757EF7" w:rsidP="008D75CE">
      <w:pPr>
        <w:keepNext/>
        <w:ind w:firstLine="0"/>
        <w:rPr>
          <w:rFonts w:ascii="Palatino Linotype" w:hAnsi="Palatino Linotype"/>
        </w:rPr>
      </w:pPr>
      <w:r w:rsidRPr="003E5B51">
        <w:rPr>
          <w:rFonts w:ascii="Palatino Linotype" w:hAnsi="Palatino Linotype"/>
        </w:rPr>
        <w:t>“</w:t>
      </w:r>
      <w:r>
        <w:rPr>
          <w:rFonts w:ascii="Palatino Linotype" w:hAnsi="Palatino Linotype"/>
        </w:rPr>
        <w:t xml:space="preserve">the </w:t>
      </w:r>
      <w:r w:rsidRPr="003E5B51">
        <w:rPr>
          <w:rFonts w:ascii="Palatino Linotype" w:hAnsi="Palatino Linotype"/>
        </w:rPr>
        <w:t>Authorised Person”</w:t>
      </w:r>
    </w:p>
    <w:p w14:paraId="7CBF3162" w14:textId="77777777" w:rsidR="00757EF7" w:rsidRPr="003E5B51" w:rsidRDefault="00757EF7" w:rsidP="00AA0AD5">
      <w:pPr>
        <w:ind w:left="1702" w:firstLine="0"/>
        <w:rPr>
          <w:rFonts w:ascii="Palatino Linotype" w:hAnsi="Palatino Linotype"/>
        </w:rPr>
      </w:pPr>
      <w:r>
        <w:rPr>
          <w:rFonts w:ascii="Palatino Linotype" w:hAnsi="Palatino Linotype"/>
        </w:rPr>
        <w:t>the</w:t>
      </w:r>
      <w:r w:rsidRPr="003E5B51">
        <w:rPr>
          <w:rFonts w:ascii="Palatino Linotype" w:hAnsi="Palatino Linotype"/>
        </w:rPr>
        <w:t xml:space="preserve"> person who is an authorised person for the purposes of s. 18(1)(a) of the Legal Services Act 2007 and whose approved regulator under that Act is the Law Society and/or the </w:t>
      </w:r>
      <w:smartTag w:uri="urn:schemas-microsoft-com:office:smarttags" w:element="stockticker">
        <w:r w:rsidRPr="003E5B51">
          <w:rPr>
            <w:rFonts w:ascii="Palatino Linotype" w:hAnsi="Palatino Linotype"/>
          </w:rPr>
          <w:t>SRA</w:t>
        </w:r>
      </w:smartTag>
      <w:r>
        <w:rPr>
          <w:rFonts w:ascii="Palatino Linotype" w:hAnsi="Palatino Linotype"/>
        </w:rPr>
        <w:t>, and all successors and assignees;</w:t>
      </w:r>
    </w:p>
    <w:p w14:paraId="4DD68618" w14:textId="77777777" w:rsidR="00757EF7" w:rsidRPr="003E5B51" w:rsidRDefault="00757EF7" w:rsidP="008D75CE">
      <w:pPr>
        <w:keepNext/>
        <w:ind w:firstLine="0"/>
        <w:rPr>
          <w:rFonts w:ascii="Palatino Linotype" w:hAnsi="Palatino Linotype"/>
        </w:rPr>
      </w:pPr>
      <w:r w:rsidRPr="003E5B51">
        <w:rPr>
          <w:rFonts w:ascii="Palatino Linotype" w:hAnsi="Palatino Linotype"/>
        </w:rPr>
        <w:t>“the Barrister”</w:t>
      </w:r>
    </w:p>
    <w:p w14:paraId="39E32C8C" w14:textId="77777777" w:rsidR="00757EF7" w:rsidRPr="003E5B51" w:rsidRDefault="00757EF7" w:rsidP="008D75CE">
      <w:pPr>
        <w:ind w:left="1702" w:firstLine="0"/>
        <w:rPr>
          <w:rFonts w:ascii="Palatino Linotype" w:hAnsi="Palatino Linotype"/>
        </w:rPr>
      </w:pPr>
      <w:r w:rsidRPr="003E5B51">
        <w:rPr>
          <w:rFonts w:ascii="Palatino Linotype" w:hAnsi="Palatino Linotype"/>
        </w:rPr>
        <w:t xml:space="preserve">the barrister, practising as a member of the Bar of England &amp; Wales, who is willing and able </w:t>
      </w:r>
      <w:r>
        <w:rPr>
          <w:rFonts w:ascii="Palatino Linotype" w:hAnsi="Palatino Linotype"/>
        </w:rPr>
        <w:t xml:space="preserve">in that capacity </w:t>
      </w:r>
      <w:r w:rsidRPr="003E5B51">
        <w:rPr>
          <w:rFonts w:ascii="Palatino Linotype" w:hAnsi="Palatino Linotype"/>
        </w:rPr>
        <w:t xml:space="preserve">to provide the Services in connection with the Case and in accordance with the Instructions from the </w:t>
      </w:r>
      <w:r>
        <w:rPr>
          <w:rFonts w:ascii="Palatino Linotype" w:hAnsi="Palatino Linotype"/>
        </w:rPr>
        <w:t>Authorised Person</w:t>
      </w:r>
      <w:r w:rsidRPr="003E5B51">
        <w:rPr>
          <w:rFonts w:ascii="Palatino Linotype" w:hAnsi="Palatino Linotype"/>
        </w:rPr>
        <w:t xml:space="preserve"> on behalf of the Lay Client;</w:t>
      </w:r>
    </w:p>
    <w:p w14:paraId="5B30CAED" w14:textId="77777777" w:rsidR="00757EF7" w:rsidRPr="003E5B51" w:rsidRDefault="00757EF7" w:rsidP="008D75CE">
      <w:pPr>
        <w:keepNext/>
        <w:ind w:firstLine="0"/>
        <w:rPr>
          <w:rFonts w:ascii="Palatino Linotype" w:hAnsi="Palatino Linotype"/>
        </w:rPr>
      </w:pPr>
      <w:r w:rsidRPr="003E5B51">
        <w:rPr>
          <w:rFonts w:ascii="Palatino Linotype" w:hAnsi="Palatino Linotype"/>
        </w:rPr>
        <w:t>“the Case”</w:t>
      </w:r>
    </w:p>
    <w:p w14:paraId="79E5DEA7" w14:textId="77777777" w:rsidR="00757EF7" w:rsidRPr="003E5B51" w:rsidRDefault="00757EF7" w:rsidP="008D75CE">
      <w:pPr>
        <w:ind w:left="1702"/>
        <w:rPr>
          <w:rFonts w:ascii="Palatino Linotype" w:hAnsi="Palatino Linotype"/>
        </w:rPr>
      </w:pPr>
      <w:r w:rsidRPr="003E5B51">
        <w:rPr>
          <w:rFonts w:ascii="Palatino Linotype" w:hAnsi="Palatino Linotype"/>
        </w:rPr>
        <w:tab/>
        <w:t xml:space="preserve">the particular legal dispute or matter, whether contentious or non-contentious, in respect of which the Barrister is Instructed to provide the </w:t>
      </w:r>
      <w:proofErr w:type="gramStart"/>
      <w:r w:rsidRPr="003E5B51">
        <w:rPr>
          <w:rFonts w:ascii="Palatino Linotype" w:hAnsi="Palatino Linotype"/>
        </w:rPr>
        <w:t>Services;</w:t>
      </w:r>
      <w:proofErr w:type="gramEnd"/>
    </w:p>
    <w:p w14:paraId="029BB6D7" w14:textId="77777777" w:rsidR="00757EF7" w:rsidRPr="003E5B51" w:rsidRDefault="00757EF7" w:rsidP="008D75CE">
      <w:pPr>
        <w:keepNext/>
        <w:ind w:firstLine="0"/>
        <w:rPr>
          <w:rFonts w:ascii="Palatino Linotype" w:hAnsi="Palatino Linotype"/>
        </w:rPr>
      </w:pPr>
      <w:r w:rsidRPr="003E5B51">
        <w:rPr>
          <w:rFonts w:ascii="Palatino Linotype" w:hAnsi="Palatino Linotype"/>
        </w:rPr>
        <w:lastRenderedPageBreak/>
        <w:t>“the Code”</w:t>
      </w:r>
    </w:p>
    <w:p w14:paraId="2AC2077C" w14:textId="77777777" w:rsidR="00757EF7" w:rsidRPr="003E5B51" w:rsidRDefault="00757EF7" w:rsidP="008D75CE">
      <w:pPr>
        <w:ind w:left="1702"/>
        <w:rPr>
          <w:rFonts w:ascii="Palatino Linotype" w:hAnsi="Palatino Linotype"/>
        </w:rPr>
      </w:pPr>
      <w:r w:rsidRPr="003E5B51">
        <w:rPr>
          <w:rFonts w:ascii="Palatino Linotype" w:hAnsi="Palatino Linotype"/>
        </w:rPr>
        <w:tab/>
        <w:t xml:space="preserve">the Code of Conduct of the Bar of England and </w:t>
      </w:r>
      <w:smartTag w:uri="urn:schemas-microsoft-com:office:smarttags" w:element="place">
        <w:smartTag w:uri="urn:schemas-microsoft-com:office:smarttags" w:element="country-region">
          <w:r w:rsidRPr="003E5B51">
            <w:rPr>
              <w:rFonts w:ascii="Palatino Linotype" w:hAnsi="Palatino Linotype"/>
            </w:rPr>
            <w:t>Wales</w:t>
          </w:r>
        </w:smartTag>
      </w:smartTag>
      <w:r w:rsidRPr="003E5B51">
        <w:rPr>
          <w:rFonts w:ascii="Palatino Linotype" w:hAnsi="Palatino Linotype"/>
        </w:rPr>
        <w:t>, as amended from time to time;</w:t>
      </w:r>
    </w:p>
    <w:p w14:paraId="70A5EE6C" w14:textId="77777777" w:rsidR="00757EF7" w:rsidRPr="003E5B51" w:rsidRDefault="00757EF7" w:rsidP="004D2810">
      <w:pPr>
        <w:keepNext/>
        <w:ind w:left="1702"/>
        <w:rPr>
          <w:rFonts w:ascii="Palatino Linotype" w:hAnsi="Palatino Linotype"/>
        </w:rPr>
      </w:pPr>
      <w:r w:rsidRPr="003E5B51">
        <w:rPr>
          <w:rFonts w:ascii="Palatino Linotype" w:hAnsi="Palatino Linotype"/>
        </w:rPr>
        <w:t xml:space="preserve">“Conditional Fee Agreement” </w:t>
      </w:r>
    </w:p>
    <w:p w14:paraId="28B895EE" w14:textId="77777777" w:rsidR="00757EF7" w:rsidRPr="003E5B51" w:rsidRDefault="00757EF7" w:rsidP="008D75CE">
      <w:pPr>
        <w:ind w:left="1702"/>
        <w:rPr>
          <w:rFonts w:ascii="Palatino Linotype" w:hAnsi="Palatino Linotype"/>
        </w:rPr>
      </w:pPr>
      <w:r w:rsidRPr="003E5B51">
        <w:rPr>
          <w:rFonts w:ascii="Palatino Linotype" w:hAnsi="Palatino Linotype"/>
        </w:rPr>
        <w:tab/>
        <w:t>the meaning ascribed to those words by section 58</w:t>
      </w:r>
      <w:r w:rsidRPr="003E5B51">
        <w:rPr>
          <w:rFonts w:ascii="Palatino Linotype" w:hAnsi="Palatino Linotype"/>
        </w:rPr>
        <w:tab/>
        <w:t xml:space="preserve"> o</w:t>
      </w:r>
      <w:r>
        <w:rPr>
          <w:rFonts w:ascii="Palatino Linotype" w:hAnsi="Palatino Linotype"/>
        </w:rPr>
        <w:t xml:space="preserve">f the Courts and Legal Services </w:t>
      </w:r>
      <w:r w:rsidRPr="003E5B51">
        <w:rPr>
          <w:rFonts w:ascii="Palatino Linotype" w:hAnsi="Palatino Linotype"/>
        </w:rPr>
        <w:t>Act 1990;</w:t>
      </w:r>
    </w:p>
    <w:p w14:paraId="4C5C8621" w14:textId="77777777" w:rsidR="00757EF7" w:rsidRPr="003E5B51" w:rsidRDefault="00757EF7" w:rsidP="008D75CE">
      <w:pPr>
        <w:keepNext/>
        <w:ind w:left="1702"/>
        <w:rPr>
          <w:rFonts w:ascii="Palatino Linotype" w:hAnsi="Palatino Linotype"/>
        </w:rPr>
      </w:pPr>
      <w:r w:rsidRPr="003E5B51">
        <w:rPr>
          <w:rFonts w:ascii="Palatino Linotype" w:hAnsi="Palatino Linotype"/>
        </w:rPr>
        <w:t>“the Instructions”</w:t>
      </w:r>
    </w:p>
    <w:p w14:paraId="14928272" w14:textId="77777777" w:rsidR="00757EF7" w:rsidRPr="003E5B51" w:rsidRDefault="00757EF7" w:rsidP="008D75CE">
      <w:pPr>
        <w:ind w:left="1702"/>
        <w:rPr>
          <w:rFonts w:ascii="Palatino Linotype" w:hAnsi="Palatino Linotype"/>
        </w:rPr>
      </w:pPr>
      <w:r w:rsidRPr="003E5B51">
        <w:rPr>
          <w:rFonts w:ascii="Palatino Linotype" w:hAnsi="Palatino Linotype"/>
        </w:rPr>
        <w:tab/>
        <w:t xml:space="preserve">the briefs, instructions and requests for work to be done (and all accompanying materials) given by the </w:t>
      </w:r>
      <w:r>
        <w:rPr>
          <w:rFonts w:ascii="Palatino Linotype" w:hAnsi="Palatino Linotype"/>
        </w:rPr>
        <w:t>Authorised Person</w:t>
      </w:r>
      <w:r w:rsidRPr="003E5B51">
        <w:rPr>
          <w:rFonts w:ascii="Palatino Linotype" w:hAnsi="Palatino Linotype"/>
        </w:rPr>
        <w:t xml:space="preserve"> to the Barrister in whatever manner to enable him to supply the Services, and “Instruct” and “Instructing” shall have corresponding meanings;</w:t>
      </w:r>
    </w:p>
    <w:p w14:paraId="53A31CD0" w14:textId="77777777" w:rsidR="00757EF7" w:rsidRPr="003E5B51" w:rsidRDefault="00757EF7" w:rsidP="008D75CE">
      <w:pPr>
        <w:keepNext/>
        <w:ind w:left="1702"/>
        <w:rPr>
          <w:rFonts w:ascii="Palatino Linotype" w:hAnsi="Palatino Linotype"/>
        </w:rPr>
      </w:pPr>
      <w:r w:rsidRPr="003E5B51">
        <w:rPr>
          <w:rFonts w:ascii="Palatino Linotype" w:hAnsi="Palatino Linotype"/>
        </w:rPr>
        <w:t>“Invoice”</w:t>
      </w:r>
    </w:p>
    <w:p w14:paraId="339549C1" w14:textId="77777777" w:rsidR="00757EF7" w:rsidRPr="003E5B51" w:rsidRDefault="00757EF7" w:rsidP="004D2810">
      <w:pPr>
        <w:ind w:left="1702"/>
        <w:rPr>
          <w:rFonts w:ascii="Palatino Linotype" w:hAnsi="Palatino Linotype"/>
        </w:rPr>
      </w:pPr>
      <w:r w:rsidRPr="003E5B51">
        <w:rPr>
          <w:rFonts w:ascii="Palatino Linotype" w:hAnsi="Palatino Linotype"/>
        </w:rPr>
        <w:tab/>
        <w:t>includes a fee note not amounting to a VAT invoice</w:t>
      </w:r>
    </w:p>
    <w:p w14:paraId="013B4410" w14:textId="77777777" w:rsidR="00757EF7" w:rsidRDefault="00757EF7" w:rsidP="008D75CE">
      <w:pPr>
        <w:keepNext/>
        <w:ind w:left="1702"/>
        <w:rPr>
          <w:rFonts w:ascii="Palatino Linotype" w:hAnsi="Palatino Linotype"/>
        </w:rPr>
      </w:pPr>
      <w:r>
        <w:rPr>
          <w:rFonts w:ascii="Palatino Linotype" w:hAnsi="Palatino Linotype"/>
        </w:rPr>
        <w:t>“the Law Society”</w:t>
      </w:r>
    </w:p>
    <w:p w14:paraId="59AED036" w14:textId="77777777" w:rsidR="00757EF7" w:rsidRPr="003E5B51" w:rsidRDefault="00757EF7" w:rsidP="004D2810">
      <w:pPr>
        <w:ind w:left="1702"/>
        <w:rPr>
          <w:rFonts w:ascii="Palatino Linotype" w:hAnsi="Palatino Linotype"/>
        </w:rPr>
      </w:pPr>
      <w:r w:rsidRPr="003E5B51">
        <w:rPr>
          <w:rFonts w:ascii="Palatino Linotype" w:hAnsi="Palatino Linotype"/>
        </w:rPr>
        <w:tab/>
      </w:r>
      <w:r>
        <w:rPr>
          <w:rFonts w:ascii="Palatino Linotype" w:hAnsi="Palatino Linotype"/>
        </w:rPr>
        <w:t xml:space="preserve">the Law Society of </w:t>
      </w:r>
      <w:smartTag w:uri="urn:schemas-microsoft-com:office:smarttags" w:element="country-region">
        <w:r>
          <w:rPr>
            <w:rFonts w:ascii="Palatino Linotype" w:hAnsi="Palatino Linotype"/>
          </w:rPr>
          <w:t>England</w:t>
        </w:r>
      </w:smartTag>
      <w:r>
        <w:rPr>
          <w:rFonts w:ascii="Palatino Linotype" w:hAnsi="Palatino Linotype"/>
        </w:rPr>
        <w:t xml:space="preserve"> and </w:t>
      </w:r>
      <w:smartTag w:uri="urn:schemas-microsoft-com:office:smarttags" w:element="place">
        <w:smartTag w:uri="urn:schemas-microsoft-com:office:smarttags" w:element="country-region">
          <w:r>
            <w:rPr>
              <w:rFonts w:ascii="Palatino Linotype" w:hAnsi="Palatino Linotype"/>
            </w:rPr>
            <w:t>Wales</w:t>
          </w:r>
        </w:smartTag>
      </w:smartTag>
    </w:p>
    <w:p w14:paraId="22767C84" w14:textId="77777777" w:rsidR="00757EF7" w:rsidRPr="003E5B51" w:rsidRDefault="00757EF7" w:rsidP="008D75CE">
      <w:pPr>
        <w:keepNext/>
        <w:ind w:left="1702"/>
        <w:rPr>
          <w:rFonts w:ascii="Palatino Linotype" w:hAnsi="Palatino Linotype"/>
        </w:rPr>
      </w:pPr>
      <w:r w:rsidRPr="003E5B51">
        <w:rPr>
          <w:rFonts w:ascii="Palatino Linotype" w:hAnsi="Palatino Linotype"/>
        </w:rPr>
        <w:t>“the Lay Client”</w:t>
      </w:r>
    </w:p>
    <w:p w14:paraId="36938B2D" w14:textId="77777777" w:rsidR="00757EF7" w:rsidRPr="003E5B51" w:rsidRDefault="00757EF7" w:rsidP="008D75CE">
      <w:pPr>
        <w:ind w:left="1702"/>
        <w:rPr>
          <w:rFonts w:ascii="Palatino Linotype" w:hAnsi="Palatino Linotype"/>
        </w:rPr>
      </w:pPr>
      <w:r w:rsidRPr="003E5B51">
        <w:rPr>
          <w:rFonts w:ascii="Palatino Linotype" w:hAnsi="Palatino Linotype"/>
        </w:rPr>
        <w:tab/>
        <w:t xml:space="preserve">the person for whose benefit or on behalf of whom the Barrister is Instructed by the </w:t>
      </w:r>
      <w:r>
        <w:rPr>
          <w:rFonts w:ascii="Palatino Linotype" w:hAnsi="Palatino Linotype"/>
        </w:rPr>
        <w:t>Authorised Person</w:t>
      </w:r>
      <w:r w:rsidRPr="003E5B51">
        <w:rPr>
          <w:rFonts w:ascii="Palatino Linotype" w:hAnsi="Palatino Linotype"/>
        </w:rPr>
        <w:t xml:space="preserve"> to provide the Services (who may be the </w:t>
      </w:r>
      <w:r>
        <w:rPr>
          <w:rFonts w:ascii="Palatino Linotype" w:hAnsi="Palatino Linotype"/>
        </w:rPr>
        <w:t>Authorised Person</w:t>
      </w:r>
      <w:r w:rsidRPr="003E5B51">
        <w:rPr>
          <w:rFonts w:ascii="Palatino Linotype" w:hAnsi="Palatino Linotype"/>
        </w:rPr>
        <w:t xml:space="preserve"> where the Case concerns the affairs of the </w:t>
      </w:r>
      <w:r>
        <w:rPr>
          <w:rFonts w:ascii="Palatino Linotype" w:hAnsi="Palatino Linotype"/>
        </w:rPr>
        <w:t>Authorised Person</w:t>
      </w:r>
      <w:r w:rsidRPr="003E5B51">
        <w:rPr>
          <w:rFonts w:ascii="Palatino Linotype" w:hAnsi="Palatino Linotype"/>
        </w:rPr>
        <w:t xml:space="preserve"> )</w:t>
      </w:r>
    </w:p>
    <w:p w14:paraId="554F122A" w14:textId="77777777" w:rsidR="00757EF7" w:rsidRPr="003E5B51" w:rsidRDefault="00757EF7" w:rsidP="008D75CE">
      <w:pPr>
        <w:keepNext/>
        <w:ind w:left="1702"/>
        <w:rPr>
          <w:rFonts w:ascii="Palatino Linotype" w:hAnsi="Palatino Linotype"/>
        </w:rPr>
      </w:pPr>
      <w:r w:rsidRPr="003E5B51">
        <w:rPr>
          <w:rFonts w:ascii="Palatino Linotype" w:hAnsi="Palatino Linotype"/>
        </w:rPr>
        <w:t>“the Services”</w:t>
      </w:r>
    </w:p>
    <w:p w14:paraId="5578C6C6" w14:textId="77777777" w:rsidR="00757EF7" w:rsidRPr="003E5B51" w:rsidRDefault="00757EF7" w:rsidP="008D75CE">
      <w:pPr>
        <w:ind w:left="1702" w:firstLine="0"/>
        <w:rPr>
          <w:rFonts w:ascii="Palatino Linotype" w:hAnsi="Palatino Linotype"/>
        </w:rPr>
      </w:pPr>
      <w:r w:rsidRPr="003E5B51">
        <w:rPr>
          <w:rFonts w:ascii="Palatino Linotype" w:hAnsi="Palatino Linotype"/>
        </w:rPr>
        <w:t xml:space="preserve">the legal services provided by the Barrister in connection with the Case pursuant to the Instructions provided by the </w:t>
      </w:r>
      <w:r>
        <w:rPr>
          <w:rFonts w:ascii="Palatino Linotype" w:hAnsi="Palatino Linotype"/>
        </w:rPr>
        <w:t>Authorised Person</w:t>
      </w:r>
      <w:r w:rsidRPr="003E5B51">
        <w:rPr>
          <w:rFonts w:ascii="Palatino Linotype" w:hAnsi="Palatino Linotype"/>
        </w:rPr>
        <w:t>;</w:t>
      </w:r>
    </w:p>
    <w:p w14:paraId="156E7AE4" w14:textId="77777777" w:rsidR="00757EF7" w:rsidRPr="003E5B51" w:rsidRDefault="00757EF7" w:rsidP="004D2810">
      <w:pPr>
        <w:keepNext/>
        <w:ind w:left="1702"/>
        <w:rPr>
          <w:rFonts w:ascii="Palatino Linotype" w:hAnsi="Palatino Linotype"/>
        </w:rPr>
      </w:pPr>
      <w:r w:rsidRPr="003E5B51">
        <w:rPr>
          <w:rFonts w:ascii="Palatino Linotype" w:hAnsi="Palatino Linotype"/>
        </w:rPr>
        <w:t xml:space="preserve">“the </w:t>
      </w:r>
      <w:smartTag w:uri="urn:schemas-microsoft-com:office:smarttags" w:element="stockticker">
        <w:smartTag w:uri="urn:schemas-microsoft-com:office:smarttags" w:element="country-region">
          <w:r w:rsidRPr="003E5B51">
            <w:rPr>
              <w:rFonts w:ascii="Palatino Linotype" w:hAnsi="Palatino Linotype"/>
            </w:rPr>
            <w:t>SRA</w:t>
          </w:r>
        </w:smartTag>
      </w:smartTag>
      <w:r w:rsidRPr="003E5B51">
        <w:rPr>
          <w:rFonts w:ascii="Palatino Linotype" w:hAnsi="Palatino Linotype"/>
        </w:rPr>
        <w:t>”</w:t>
      </w:r>
    </w:p>
    <w:p w14:paraId="4A6D31F4" w14:textId="77777777" w:rsidR="00757EF7" w:rsidRPr="003E5B51" w:rsidRDefault="00757EF7" w:rsidP="008D75CE">
      <w:pPr>
        <w:ind w:left="1702"/>
        <w:rPr>
          <w:rFonts w:ascii="Palatino Linotype" w:hAnsi="Palatino Linotype"/>
        </w:rPr>
      </w:pPr>
      <w:r w:rsidRPr="003E5B51">
        <w:rPr>
          <w:rFonts w:ascii="Palatino Linotype" w:hAnsi="Palatino Linotype"/>
        </w:rPr>
        <w:tab/>
        <w:t>the Solicitors Regulation Authority; and</w:t>
      </w:r>
    </w:p>
    <w:p w14:paraId="5A222F29" w14:textId="77777777" w:rsidR="00757EF7" w:rsidRPr="003E5B51" w:rsidRDefault="00757EF7" w:rsidP="004D2810">
      <w:pPr>
        <w:keepNext/>
        <w:ind w:left="1702"/>
        <w:rPr>
          <w:rFonts w:ascii="Palatino Linotype" w:hAnsi="Palatino Linotype"/>
        </w:rPr>
      </w:pPr>
      <w:r w:rsidRPr="003E5B51">
        <w:rPr>
          <w:rFonts w:ascii="Palatino Linotype" w:hAnsi="Palatino Linotype"/>
        </w:rPr>
        <w:t xml:space="preserve">“the </w:t>
      </w:r>
      <w:smartTag w:uri="urn:schemas-microsoft-com:office:smarttags" w:element="stockticker">
        <w:smartTag w:uri="urn:schemas-microsoft-com:office:smarttags" w:element="country-region">
          <w:r w:rsidRPr="003E5B51">
            <w:rPr>
              <w:rFonts w:ascii="Palatino Linotype" w:hAnsi="Palatino Linotype"/>
            </w:rPr>
            <w:t>SRA</w:t>
          </w:r>
        </w:smartTag>
      </w:smartTag>
      <w:r w:rsidRPr="003E5B51">
        <w:rPr>
          <w:rFonts w:ascii="Palatino Linotype" w:hAnsi="Palatino Linotype"/>
        </w:rPr>
        <w:t xml:space="preserve"> Code”</w:t>
      </w:r>
    </w:p>
    <w:p w14:paraId="6C7829B5" w14:textId="77777777" w:rsidR="00757EF7" w:rsidRPr="003E5B51" w:rsidRDefault="00757EF7" w:rsidP="008D75CE">
      <w:pPr>
        <w:ind w:left="1702"/>
        <w:rPr>
          <w:rFonts w:ascii="Palatino Linotype" w:hAnsi="Palatino Linotype"/>
        </w:rPr>
      </w:pPr>
      <w:r w:rsidRPr="003E5B51">
        <w:rPr>
          <w:rFonts w:ascii="Palatino Linotype" w:hAnsi="Palatino Linotype"/>
        </w:rPr>
        <w:tab/>
        <w:t xml:space="preserve">the part of the </w:t>
      </w:r>
      <w:smartTag w:uri="urn:schemas-microsoft-com:office:smarttags" w:element="stockticker">
        <w:smartTag w:uri="urn:schemas-microsoft-com:office:smarttags" w:element="country-region">
          <w:r w:rsidRPr="003E5B51">
            <w:rPr>
              <w:rFonts w:ascii="Palatino Linotype" w:hAnsi="Palatino Linotype"/>
            </w:rPr>
            <w:t>SRA</w:t>
          </w:r>
        </w:smartTag>
      </w:smartTag>
      <w:r w:rsidRPr="003E5B51">
        <w:rPr>
          <w:rFonts w:ascii="Palatino Linotype" w:hAnsi="Palatino Linotype"/>
        </w:rPr>
        <w:t xml:space="preserve"> Handbook published by the </w:t>
      </w:r>
      <w:smartTag w:uri="urn:schemas-microsoft-com:office:smarttags" w:element="stockticker">
        <w:smartTag w:uri="urn:schemas-microsoft-com:office:smarttags" w:element="country-region">
          <w:r w:rsidRPr="003E5B51">
            <w:rPr>
              <w:rFonts w:ascii="Palatino Linotype" w:hAnsi="Palatino Linotype"/>
            </w:rPr>
            <w:t>SRA</w:t>
          </w:r>
        </w:smartTag>
      </w:smartTag>
      <w:r w:rsidRPr="003E5B51">
        <w:rPr>
          <w:rFonts w:ascii="Palatino Linotype" w:hAnsi="Palatino Linotype"/>
        </w:rPr>
        <w:t xml:space="preserve"> on 16 September 2011 referred to as the “</w:t>
      </w:r>
      <w:smartTag w:uri="urn:schemas-microsoft-com:office:smarttags" w:element="stockticker">
        <w:smartTag w:uri="urn:schemas-microsoft-com:office:smarttags" w:element="country-region">
          <w:r w:rsidRPr="003E5B51">
            <w:rPr>
              <w:rFonts w:ascii="Palatino Linotype" w:hAnsi="Palatino Linotype"/>
            </w:rPr>
            <w:t>SRA</w:t>
          </w:r>
        </w:smartTag>
      </w:smartTag>
      <w:r w:rsidRPr="003E5B51">
        <w:rPr>
          <w:rFonts w:ascii="Palatino Linotype" w:hAnsi="Palatino Linotype"/>
        </w:rPr>
        <w:t xml:space="preserve"> Code of Conduct 2011” as amended from time to time. </w:t>
      </w:r>
    </w:p>
    <w:p w14:paraId="58E50195" w14:textId="77777777" w:rsidR="00757EF7" w:rsidRPr="003E5B51" w:rsidRDefault="00757EF7" w:rsidP="008D75CE">
      <w:pPr>
        <w:rPr>
          <w:rFonts w:ascii="Palatino Linotype" w:hAnsi="Palatino Linotype"/>
        </w:rPr>
      </w:pPr>
    </w:p>
    <w:p w14:paraId="647AA2A5" w14:textId="77777777" w:rsidR="00757EF7" w:rsidRPr="003E5B51" w:rsidRDefault="00757EF7" w:rsidP="008D75CE">
      <w:pPr>
        <w:pStyle w:val="Heading2"/>
        <w:numPr>
          <w:ilvl w:val="0"/>
          <w:numId w:val="14"/>
        </w:numPr>
        <w:rPr>
          <w:rFonts w:ascii="Palatino Linotype" w:hAnsi="Palatino Linotype"/>
        </w:rPr>
      </w:pPr>
      <w:bookmarkStart w:id="1" w:name="_Toc326333190"/>
      <w:r w:rsidRPr="003E5B51">
        <w:rPr>
          <w:rFonts w:ascii="Palatino Linotype" w:hAnsi="Palatino Linotype"/>
        </w:rPr>
        <w:t>APPLICATION OF THESE CONDITIONS</w:t>
      </w:r>
      <w:bookmarkEnd w:id="1"/>
    </w:p>
    <w:p w14:paraId="4FBE74E6" w14:textId="77777777" w:rsidR="00757EF7" w:rsidRPr="003E5B51" w:rsidRDefault="00757EF7" w:rsidP="008D75CE">
      <w:pPr>
        <w:numPr>
          <w:ilvl w:val="1"/>
          <w:numId w:val="14"/>
        </w:numPr>
        <w:rPr>
          <w:rFonts w:ascii="Palatino Linotype" w:hAnsi="Palatino Linotype"/>
        </w:rPr>
      </w:pPr>
      <w:bookmarkStart w:id="2" w:name="_Ref235265197"/>
      <w:r w:rsidRPr="003E5B51">
        <w:rPr>
          <w:rFonts w:ascii="Palatino Linotype" w:hAnsi="Palatino Linotype"/>
        </w:rPr>
        <w:t xml:space="preserve">The Barrister provides the Services requested by the </w:t>
      </w:r>
      <w:r>
        <w:rPr>
          <w:rFonts w:ascii="Palatino Linotype" w:hAnsi="Palatino Linotype"/>
        </w:rPr>
        <w:t>Authorised Person</w:t>
      </w:r>
      <w:r w:rsidRPr="003E5B51">
        <w:rPr>
          <w:rFonts w:ascii="Palatino Linotype" w:hAnsi="Palatino Linotype"/>
        </w:rPr>
        <w:t xml:space="preserve"> on the terms set out in these Conditions and subject to his professional obligations under the Code.</w:t>
      </w:r>
    </w:p>
    <w:p w14:paraId="5897770A" w14:textId="77777777" w:rsidR="00757EF7" w:rsidRPr="003E5B51" w:rsidRDefault="00757EF7" w:rsidP="008D75CE">
      <w:pPr>
        <w:numPr>
          <w:ilvl w:val="1"/>
          <w:numId w:val="14"/>
        </w:numPr>
        <w:rPr>
          <w:rFonts w:ascii="Palatino Linotype" w:hAnsi="Palatino Linotype"/>
        </w:rPr>
      </w:pPr>
      <w:bookmarkStart w:id="3" w:name="_Ref235274964"/>
      <w:r w:rsidRPr="003E5B51">
        <w:rPr>
          <w:rFonts w:ascii="Palatino Linotype" w:hAnsi="Palatino Linotype"/>
        </w:rPr>
        <w:t xml:space="preserve">These Conditions (other than this clause 2.2) may be varied if, but only if, expressly agreed by the Parties in writing (including by </w:t>
      </w:r>
      <w:r>
        <w:rPr>
          <w:rFonts w:ascii="Palatino Linotype" w:hAnsi="Palatino Linotype"/>
        </w:rPr>
        <w:t xml:space="preserve">exchange of </w:t>
      </w:r>
      <w:r w:rsidRPr="003E5B51">
        <w:rPr>
          <w:rFonts w:ascii="Palatino Linotype" w:hAnsi="Palatino Linotype"/>
        </w:rPr>
        <w:t>email</w:t>
      </w:r>
      <w:r>
        <w:rPr>
          <w:rFonts w:ascii="Palatino Linotype" w:hAnsi="Palatino Linotype"/>
        </w:rPr>
        <w:t>s</w:t>
      </w:r>
      <w:r w:rsidRPr="003E5B51">
        <w:rPr>
          <w:rFonts w:ascii="Palatino Linotype" w:hAnsi="Palatino Linotype"/>
        </w:rPr>
        <w:t>).</w:t>
      </w:r>
      <w:bookmarkEnd w:id="2"/>
      <w:bookmarkEnd w:id="3"/>
      <w:r w:rsidRPr="003E5B51">
        <w:rPr>
          <w:rFonts w:ascii="Palatino Linotype" w:hAnsi="Palatino Linotype"/>
        </w:rPr>
        <w:t xml:space="preserve"> </w:t>
      </w:r>
    </w:p>
    <w:p w14:paraId="45BEB285"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By instructing the Barrister to provide further Services in relation to the Case, the </w:t>
      </w:r>
      <w:r>
        <w:rPr>
          <w:rFonts w:ascii="Palatino Linotype" w:hAnsi="Palatino Linotype"/>
        </w:rPr>
        <w:t>Authorised Person</w:t>
      </w:r>
      <w:r w:rsidRPr="003E5B51">
        <w:rPr>
          <w:rFonts w:ascii="Palatino Linotype" w:hAnsi="Palatino Linotype"/>
        </w:rPr>
        <w:t xml:space="preserve"> accepts these Conditions in relation to those further Services, as well as in relation to the Services which the Barrister is initially instructed to provide.</w:t>
      </w:r>
    </w:p>
    <w:p w14:paraId="3FD363C5" w14:textId="77777777" w:rsidR="00757EF7" w:rsidRPr="003E5B51" w:rsidRDefault="00757EF7" w:rsidP="008D75CE">
      <w:pPr>
        <w:numPr>
          <w:ilvl w:val="1"/>
          <w:numId w:val="14"/>
        </w:numPr>
        <w:rPr>
          <w:rFonts w:ascii="Palatino Linotype" w:hAnsi="Palatino Linotype"/>
        </w:rPr>
      </w:pPr>
      <w:bookmarkStart w:id="4" w:name="_Ref235237802"/>
      <w:r w:rsidRPr="003E5B51">
        <w:rPr>
          <w:rFonts w:ascii="Palatino Linotype" w:hAnsi="Palatino Linotype"/>
        </w:rPr>
        <w:t>These Conditions do not apply in the following circumstances:</w:t>
      </w:r>
      <w:bookmarkEnd w:id="4"/>
    </w:p>
    <w:p w14:paraId="2BA75309"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lastRenderedPageBreak/>
        <w:t>the Barrister is paid directly (a) by the Legal Services Commission, through the Community Legal Service or the Criminal Defence Service or (b) by the Crown Prosecution Service; or</w:t>
      </w:r>
    </w:p>
    <w:p w14:paraId="4D294B46"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the Barrister has entered into a Conditional Fee Agreement in relation to the Case that does not specifically incorporate these Conditions.</w:t>
      </w:r>
    </w:p>
    <w:p w14:paraId="44398F73"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Nothing in these Conditions nor any variation referred to in clause 2.2 shall operate </w:t>
      </w:r>
      <w:proofErr w:type="gramStart"/>
      <w:r w:rsidRPr="003E5B51">
        <w:rPr>
          <w:rFonts w:ascii="Palatino Linotype" w:hAnsi="Palatino Linotype"/>
        </w:rPr>
        <w:t>so as to</w:t>
      </w:r>
      <w:proofErr w:type="gramEnd"/>
      <w:r w:rsidRPr="003E5B51">
        <w:rPr>
          <w:rFonts w:ascii="Palatino Linotype" w:hAnsi="Palatino Linotype"/>
        </w:rPr>
        <w:t xml:space="preserve"> conflict with the Barrister’s duty under the Code or with the </w:t>
      </w:r>
      <w:r>
        <w:rPr>
          <w:rFonts w:ascii="Palatino Linotype" w:hAnsi="Palatino Linotype"/>
        </w:rPr>
        <w:t>Authorised Person</w:t>
      </w:r>
      <w:r w:rsidRPr="003E5B51">
        <w:rPr>
          <w:rFonts w:ascii="Palatino Linotype" w:hAnsi="Palatino Linotype"/>
        </w:rPr>
        <w:t xml:space="preserve">’s duty under the </w:t>
      </w:r>
      <w:smartTag w:uri="urn:schemas-microsoft-com:office:smarttags" w:element="stockticker">
        <w:smartTag w:uri="urn:schemas-microsoft-com:office:smarttags" w:element="country-region">
          <w:r w:rsidRPr="003E5B51">
            <w:rPr>
              <w:rFonts w:ascii="Palatino Linotype" w:hAnsi="Palatino Linotype"/>
            </w:rPr>
            <w:t>SRA</w:t>
          </w:r>
        </w:smartTag>
      </w:smartTag>
      <w:r w:rsidRPr="003E5B51">
        <w:rPr>
          <w:rFonts w:ascii="Palatino Linotype" w:hAnsi="Palatino Linotype"/>
        </w:rPr>
        <w:t xml:space="preserve"> Code. </w:t>
      </w:r>
    </w:p>
    <w:p w14:paraId="6F411281" w14:textId="77777777" w:rsidR="00757EF7" w:rsidRPr="003E5B51" w:rsidRDefault="00757EF7" w:rsidP="008D75CE">
      <w:pPr>
        <w:rPr>
          <w:rFonts w:ascii="Palatino Linotype" w:hAnsi="Palatino Linotype"/>
        </w:rPr>
      </w:pPr>
    </w:p>
    <w:p w14:paraId="2E6FD600" w14:textId="77777777" w:rsidR="00757EF7" w:rsidRPr="003E5B51" w:rsidRDefault="00757EF7" w:rsidP="008D75CE">
      <w:pPr>
        <w:pStyle w:val="Heading2"/>
        <w:numPr>
          <w:ilvl w:val="0"/>
          <w:numId w:val="14"/>
        </w:numPr>
        <w:rPr>
          <w:rFonts w:ascii="Palatino Linotype" w:hAnsi="Palatino Linotype"/>
        </w:rPr>
      </w:pPr>
      <w:bookmarkStart w:id="5" w:name="_Toc326333191"/>
      <w:r w:rsidRPr="003E5B51">
        <w:rPr>
          <w:rFonts w:ascii="Palatino Linotype" w:hAnsi="Palatino Linotype"/>
        </w:rPr>
        <w:t>THE INSTRUCTIONS TO THE BARRISTER</w:t>
      </w:r>
      <w:bookmarkEnd w:id="5"/>
    </w:p>
    <w:p w14:paraId="137190A6"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must ensure the Instructions delivered to the Barrister are adequate to supply him with the information and documents reasonably required and in reasonably sufficient time for him to provide the Services requested.</w:t>
      </w:r>
    </w:p>
    <w:p w14:paraId="06C6F132"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must respond promptly to any requests for further information or instructions made by the Barrister.</w:t>
      </w:r>
    </w:p>
    <w:p w14:paraId="191FCA2E"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must inform the Barrister immediately if there is reason to believe that any information or document provided to the Barrister is not true and accurate.</w:t>
      </w:r>
    </w:p>
    <w:p w14:paraId="739C1755"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Where the </w:t>
      </w:r>
      <w:r>
        <w:rPr>
          <w:rFonts w:ascii="Palatino Linotype" w:hAnsi="Palatino Linotype"/>
        </w:rPr>
        <w:t>Authorised Person</w:t>
      </w:r>
      <w:r w:rsidRPr="003E5B51">
        <w:rPr>
          <w:rFonts w:ascii="Palatino Linotype" w:hAnsi="Palatino Linotype"/>
        </w:rPr>
        <w:t xml:space="preserve"> requires the Barrister to perform all or any part of the Services urgently the </w:t>
      </w:r>
      <w:r>
        <w:rPr>
          <w:rFonts w:ascii="Palatino Linotype" w:hAnsi="Palatino Linotype"/>
        </w:rPr>
        <w:t>Authorised Person</w:t>
      </w:r>
      <w:r w:rsidRPr="003E5B51">
        <w:rPr>
          <w:rFonts w:ascii="Palatino Linotype" w:hAnsi="Palatino Linotype"/>
        </w:rPr>
        <w:t xml:space="preserve"> must ensure that:</w:t>
      </w:r>
    </w:p>
    <w:p w14:paraId="463802CD"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all relevant Instructions are clearly marked “Urgent”; and</w:t>
      </w:r>
    </w:p>
    <w:p w14:paraId="6DD0541A"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at the time the Instructions are delivered the Barrister is informed in clear and unambiguous terms of the timescale within which the Services are required and the reason for the urgency.</w:t>
      </w:r>
    </w:p>
    <w:p w14:paraId="6C375D48"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must inform the Barrister within a reasonable time if the Case is settled or otherwise concluded.</w:t>
      </w:r>
    </w:p>
    <w:p w14:paraId="23028C78" w14:textId="77777777" w:rsidR="00757EF7" w:rsidRPr="003E5B51" w:rsidRDefault="00757EF7" w:rsidP="008D75CE">
      <w:pPr>
        <w:rPr>
          <w:rFonts w:ascii="Palatino Linotype" w:hAnsi="Palatino Linotype"/>
        </w:rPr>
      </w:pPr>
    </w:p>
    <w:p w14:paraId="33D38E11" w14:textId="77777777" w:rsidR="00757EF7" w:rsidRPr="003E5B51" w:rsidRDefault="00757EF7" w:rsidP="008D75CE">
      <w:pPr>
        <w:pStyle w:val="Heading2"/>
        <w:numPr>
          <w:ilvl w:val="0"/>
          <w:numId w:val="14"/>
        </w:numPr>
        <w:rPr>
          <w:rFonts w:ascii="Palatino Linotype" w:hAnsi="Palatino Linotype"/>
        </w:rPr>
      </w:pPr>
      <w:bookmarkStart w:id="6" w:name="_Toc326333192"/>
      <w:r w:rsidRPr="003E5B51">
        <w:rPr>
          <w:rFonts w:ascii="Palatino Linotype" w:hAnsi="Palatino Linotype"/>
        </w:rPr>
        <w:t xml:space="preserve">RECEIPT </w:t>
      </w:r>
      <w:smartTag w:uri="urn:schemas-microsoft-com:office:smarttags" w:element="stockticker">
        <w:smartTag w:uri="urn:schemas-microsoft-com:office:smarttags" w:element="country-region">
          <w:r w:rsidRPr="003E5B51">
            <w:rPr>
              <w:rFonts w:ascii="Palatino Linotype" w:hAnsi="Palatino Linotype"/>
            </w:rPr>
            <w:t>AND</w:t>
          </w:r>
        </w:smartTag>
      </w:smartTag>
      <w:r w:rsidRPr="003E5B51">
        <w:rPr>
          <w:rFonts w:ascii="Palatino Linotype" w:hAnsi="Palatino Linotype"/>
        </w:rPr>
        <w:t xml:space="preserve"> ACCEPTANCE OF THE INSTRUCTIONS</w:t>
      </w:r>
      <w:bookmarkEnd w:id="6"/>
    </w:p>
    <w:p w14:paraId="55FDFE09"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Upon receipt of the Instructions, the Barrister will within a reasonable time review the Instructions and </w:t>
      </w:r>
      <w:r>
        <w:rPr>
          <w:rFonts w:ascii="Palatino Linotype" w:hAnsi="Palatino Linotype"/>
        </w:rPr>
        <w:t xml:space="preserve">contact </w:t>
      </w: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w:t>
      </w:r>
      <w:r>
        <w:rPr>
          <w:rFonts w:ascii="Palatino Linotype" w:hAnsi="Palatino Linotype"/>
        </w:rPr>
        <w:t xml:space="preserve">If he is unable or may be unable to </w:t>
      </w:r>
      <w:r w:rsidRPr="003E5B51">
        <w:rPr>
          <w:rFonts w:ascii="Palatino Linotype" w:hAnsi="Palatino Linotype"/>
        </w:rPr>
        <w:t>accept the Instructions</w:t>
      </w:r>
      <w:r>
        <w:rPr>
          <w:rFonts w:ascii="Palatino Linotype" w:hAnsi="Palatino Linotype"/>
        </w:rPr>
        <w:t xml:space="preserve"> he will inform the Authorised Person, otherwise the Barrister accepts the Instructions </w:t>
      </w:r>
      <w:r w:rsidR="0018538E">
        <w:rPr>
          <w:rFonts w:ascii="Palatino Linotype" w:hAnsi="Palatino Linotype"/>
        </w:rPr>
        <w:t xml:space="preserve">by </w:t>
      </w:r>
      <w:r>
        <w:rPr>
          <w:rFonts w:ascii="Palatino Linotype" w:hAnsi="Palatino Linotype"/>
        </w:rPr>
        <w:t>contacting the Authorised Person after he has conducted his review.</w:t>
      </w:r>
    </w:p>
    <w:p w14:paraId="0C0793A3" w14:textId="77777777" w:rsidR="00757EF7" w:rsidRPr="003E5B51" w:rsidRDefault="00757EF7" w:rsidP="008D75CE">
      <w:pPr>
        <w:numPr>
          <w:ilvl w:val="1"/>
          <w:numId w:val="14"/>
        </w:numPr>
        <w:rPr>
          <w:rFonts w:ascii="Palatino Linotype" w:hAnsi="Palatino Linotype"/>
        </w:rPr>
      </w:pPr>
      <w:bookmarkStart w:id="7" w:name="_Ref235253932"/>
      <w:r w:rsidRPr="003E5B51">
        <w:rPr>
          <w:rFonts w:ascii="Palatino Linotype" w:hAnsi="Palatino Linotype"/>
        </w:rPr>
        <w:t>The Barrister may accept or refuse the Instructions in the circumstances and for the reasons set out in the Code and the Barrister incurs no liability if he refuses any Instructions in accordance with the Code.</w:t>
      </w:r>
      <w:bookmarkEnd w:id="7"/>
    </w:p>
    <w:p w14:paraId="19B78B11" w14:textId="77777777" w:rsidR="00757EF7" w:rsidRPr="003E5B51" w:rsidRDefault="00757EF7" w:rsidP="008D75CE">
      <w:pPr>
        <w:rPr>
          <w:rFonts w:ascii="Palatino Linotype" w:hAnsi="Palatino Linotype"/>
        </w:rPr>
      </w:pPr>
      <w:r w:rsidRPr="003E5B51">
        <w:rPr>
          <w:rFonts w:ascii="Palatino Linotype" w:hAnsi="Palatino Linotype"/>
        </w:rPr>
        <w:t>4.3</w:t>
      </w:r>
      <w:r w:rsidRPr="003E5B51">
        <w:rPr>
          <w:rFonts w:ascii="Palatino Linotype" w:hAnsi="Palatino Linotype"/>
        </w:rPr>
        <w:tab/>
        <w:t xml:space="preserve">Notwithstanding acceptance of Instructions in accordance with Clause 4.1 above, the  Barrister shall be entitled to carry out any customer due diligence required by the Money Laundering Regulations 2007.  The </w:t>
      </w:r>
      <w:r>
        <w:rPr>
          <w:rFonts w:ascii="Palatino Linotype" w:hAnsi="Palatino Linotype"/>
        </w:rPr>
        <w:t>Authorised Person</w:t>
      </w:r>
      <w:r w:rsidRPr="003E5B51">
        <w:rPr>
          <w:rFonts w:ascii="Palatino Linotype" w:hAnsi="Palatino Linotype"/>
        </w:rPr>
        <w:t xml:space="preserve"> will provide the Barrister with all reasonable assistance to carry out any necessary customer due diligence including (if required to do so) consenting to the Barrister relying upon the </w:t>
      </w:r>
      <w:r>
        <w:rPr>
          <w:rFonts w:ascii="Palatino Linotype" w:hAnsi="Palatino Linotype"/>
        </w:rPr>
        <w:t>Authorised Person</w:t>
      </w:r>
      <w:r w:rsidRPr="003E5B51">
        <w:rPr>
          <w:rFonts w:ascii="Palatino Linotype" w:hAnsi="Palatino Linotype"/>
        </w:rPr>
        <w:t xml:space="preserve"> under Regulation 17 of the Money Laundering Regulations 2007. </w:t>
      </w:r>
    </w:p>
    <w:p w14:paraId="315EBD27" w14:textId="77777777" w:rsidR="00757EF7" w:rsidRPr="003E5B51" w:rsidRDefault="00757EF7" w:rsidP="008D75CE">
      <w:pPr>
        <w:rPr>
          <w:rFonts w:ascii="Palatino Linotype" w:hAnsi="Palatino Linotype"/>
        </w:rPr>
      </w:pPr>
      <w:r w:rsidRPr="003E5B51">
        <w:rPr>
          <w:rFonts w:ascii="Palatino Linotype" w:hAnsi="Palatino Linotype"/>
        </w:rPr>
        <w:lastRenderedPageBreak/>
        <w:t>4.4</w:t>
      </w:r>
      <w:r w:rsidRPr="003E5B51">
        <w:rPr>
          <w:rFonts w:ascii="Palatino Linotype" w:hAnsi="Palatino Linotype"/>
        </w:rPr>
        <w:tab/>
        <w:t>In the event that the Barrister reasonably considers that the requirements of the Money Laundering Regulations have not been satisfied he may within a reasonable period after receipt of the Instructions withdraw any acceptance of those Instructions without incurring any liability</w:t>
      </w:r>
    </w:p>
    <w:p w14:paraId="1A8B60EE" w14:textId="77777777" w:rsidR="00757EF7" w:rsidRPr="003E5B51" w:rsidRDefault="00757EF7">
      <w:pPr>
        <w:rPr>
          <w:rFonts w:ascii="Palatino Linotype" w:hAnsi="Palatino Linotype"/>
        </w:rPr>
      </w:pPr>
      <w:r w:rsidRPr="003E5B51">
        <w:rPr>
          <w:rFonts w:ascii="Palatino Linotype" w:hAnsi="Palatino Linotype"/>
        </w:rPr>
        <w:t>4.5</w:t>
      </w:r>
      <w:r w:rsidRPr="003E5B51">
        <w:rPr>
          <w:rFonts w:ascii="Palatino Linotype" w:hAnsi="Palatino Linotype"/>
        </w:rPr>
        <w:tab/>
        <w:t>Subject to the preceding provisions of this Clause 4, the Agreement comes into effect upon the Barrister accepting the Instructions.</w:t>
      </w:r>
    </w:p>
    <w:p w14:paraId="7012432E" w14:textId="77777777" w:rsidR="00757EF7" w:rsidRPr="003E5B51" w:rsidRDefault="00757EF7" w:rsidP="008D75CE">
      <w:pPr>
        <w:rPr>
          <w:rFonts w:ascii="Palatino Linotype" w:hAnsi="Palatino Linotype"/>
        </w:rPr>
      </w:pPr>
    </w:p>
    <w:p w14:paraId="07A828CF" w14:textId="77777777" w:rsidR="00757EF7" w:rsidRPr="003E5B51" w:rsidRDefault="00757EF7" w:rsidP="008D75CE">
      <w:pPr>
        <w:pStyle w:val="Heading2"/>
        <w:numPr>
          <w:ilvl w:val="0"/>
          <w:numId w:val="14"/>
        </w:numPr>
        <w:rPr>
          <w:rFonts w:ascii="Palatino Linotype" w:hAnsi="Palatino Linotype"/>
        </w:rPr>
      </w:pPr>
      <w:bookmarkStart w:id="8" w:name="_Toc326333193"/>
      <w:r w:rsidRPr="003E5B51">
        <w:rPr>
          <w:rFonts w:ascii="Palatino Linotype" w:hAnsi="Palatino Linotype"/>
        </w:rPr>
        <w:t xml:space="preserve">CONFIDENTIAL INFORMATION </w:t>
      </w:r>
      <w:smartTag w:uri="urn:schemas-microsoft-com:office:smarttags" w:element="stockticker">
        <w:r w:rsidRPr="003E5B51">
          <w:rPr>
            <w:rFonts w:ascii="Palatino Linotype" w:hAnsi="Palatino Linotype"/>
          </w:rPr>
          <w:t>AND</w:t>
        </w:r>
      </w:smartTag>
      <w:r w:rsidRPr="003E5B51">
        <w:rPr>
          <w:rFonts w:ascii="Palatino Linotype" w:hAnsi="Palatino Linotype"/>
        </w:rPr>
        <w:t xml:space="preserve"> PUBLICITY</w:t>
      </w:r>
      <w:bookmarkEnd w:id="8"/>
    </w:p>
    <w:p w14:paraId="593252A8" w14:textId="77777777" w:rsidR="00757EF7" w:rsidRPr="003E5B51" w:rsidRDefault="00757EF7" w:rsidP="008D75CE">
      <w:pPr>
        <w:numPr>
          <w:ilvl w:val="1"/>
          <w:numId w:val="14"/>
        </w:numPr>
        <w:rPr>
          <w:rFonts w:ascii="Palatino Linotype" w:hAnsi="Palatino Linotype"/>
        </w:rPr>
      </w:pPr>
      <w:bookmarkStart w:id="9" w:name="_Ref235266632"/>
      <w:r w:rsidRPr="003E5B51">
        <w:rPr>
          <w:rFonts w:ascii="Palatino Linotype" w:hAnsi="Palatino Linotype"/>
        </w:rPr>
        <w:t>The Barrister will keep confidential all information provided to him in connection with the Case unless:</w:t>
      </w:r>
      <w:bookmarkEnd w:id="9"/>
    </w:p>
    <w:p w14:paraId="7A99DF7A"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 xml:space="preserve">he is authorised by the </w:t>
      </w:r>
      <w:r>
        <w:rPr>
          <w:rFonts w:ascii="Palatino Linotype" w:hAnsi="Palatino Linotype"/>
        </w:rPr>
        <w:t>Authorised Person</w:t>
      </w:r>
      <w:r w:rsidRPr="003E5B51">
        <w:rPr>
          <w:rFonts w:ascii="Palatino Linotype" w:hAnsi="Palatino Linotype"/>
        </w:rPr>
        <w:t xml:space="preserve"> or the Lay Client to disclose it;</w:t>
      </w:r>
    </w:p>
    <w:p w14:paraId="7C1F5376"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the information is in or comes into the public domain without any breach of confidentiality on the part of the Barrister; or</w:t>
      </w:r>
    </w:p>
    <w:p w14:paraId="58D1D7B7"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 xml:space="preserve">he is required or permitted to disclose it by law, or by </w:t>
      </w:r>
      <w:r>
        <w:rPr>
          <w:rFonts w:ascii="Palatino Linotype" w:hAnsi="Palatino Linotype"/>
        </w:rPr>
        <w:t xml:space="preserve">any </w:t>
      </w:r>
      <w:r w:rsidRPr="003E5B51">
        <w:rPr>
          <w:rFonts w:ascii="Palatino Linotype" w:hAnsi="Palatino Linotype"/>
        </w:rPr>
        <w:t xml:space="preserve">regulatory or fiscal authorities, in which case, to the extent that he is permitted to do so, he will endeavour to give the </w:t>
      </w:r>
      <w:r>
        <w:rPr>
          <w:rFonts w:ascii="Palatino Linotype" w:hAnsi="Palatino Linotype"/>
        </w:rPr>
        <w:t>Authorised Person</w:t>
      </w:r>
      <w:r w:rsidRPr="003E5B51">
        <w:rPr>
          <w:rFonts w:ascii="Palatino Linotype" w:hAnsi="Palatino Linotype"/>
        </w:rPr>
        <w:t xml:space="preserve"> and/or the Lay Client as much advance notice as possible and permitted of any such required disclosure.</w:t>
      </w:r>
    </w:p>
    <w:p w14:paraId="054D7F72"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The Barrister owes the same duty of confidentiality to other lay clients, and will therefore not disclose or make use of any information that might be given to him in confidence in relation to any other matter without the consent of his other lay client, even if it is material to providing the Services.</w:t>
      </w:r>
    </w:p>
    <w:p w14:paraId="091EE47A"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Unless the </w:t>
      </w:r>
      <w:r>
        <w:rPr>
          <w:rFonts w:ascii="Palatino Linotype" w:hAnsi="Palatino Linotype"/>
        </w:rPr>
        <w:t>Authorised Person</w:t>
      </w:r>
      <w:r w:rsidRPr="003E5B51">
        <w:rPr>
          <w:rFonts w:ascii="Palatino Linotype" w:hAnsi="Palatino Linotype"/>
        </w:rPr>
        <w:t xml:space="preserve"> expressly informs the Barrister to the contrary in advance in writing, the Barrister may allow the Instructions to be reviewed by another barrister or by a pupil </w:t>
      </w:r>
      <w:r>
        <w:rPr>
          <w:rFonts w:ascii="Palatino Linotype" w:hAnsi="Palatino Linotype"/>
        </w:rPr>
        <w:t xml:space="preserve">(including a vacation pupil or mini-pupil) </w:t>
      </w:r>
      <w:r w:rsidRPr="003E5B51">
        <w:rPr>
          <w:rFonts w:ascii="Palatino Linotype" w:hAnsi="Palatino Linotype"/>
        </w:rPr>
        <w:t>in chambers, on terms that that other barrister or pupil complies with clause 5.1.</w:t>
      </w:r>
    </w:p>
    <w:p w14:paraId="012FC84F"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Subject to his obligation under clause 5.1, the Barrister may make and retain copies of the Instructions and any written material produced by him.</w:t>
      </w:r>
    </w:p>
    <w:p w14:paraId="212423B7" w14:textId="77777777" w:rsidR="00757EF7" w:rsidRPr="003E5B51" w:rsidRDefault="00757EF7" w:rsidP="008D75CE">
      <w:pPr>
        <w:numPr>
          <w:ilvl w:val="1"/>
          <w:numId w:val="14"/>
        </w:numPr>
        <w:rPr>
          <w:rFonts w:ascii="Palatino Linotype" w:hAnsi="Palatino Linotype"/>
        </w:rPr>
      </w:pPr>
      <w:bookmarkStart w:id="10" w:name="_Ref240388040"/>
      <w:r w:rsidRPr="003E5B51">
        <w:rPr>
          <w:rFonts w:ascii="Palatino Linotype" w:hAnsi="Palatino Linotype"/>
        </w:rPr>
        <w:t xml:space="preserve">To the extent such information is already in the public domain, the Barrister may disclose in his marketing and similar materials, and to prospective clients and publishers of legal directories that he is or has been instructed by the </w:t>
      </w:r>
      <w:r>
        <w:rPr>
          <w:rFonts w:ascii="Palatino Linotype" w:hAnsi="Palatino Linotype"/>
        </w:rPr>
        <w:t>Authorised Person</w:t>
      </w:r>
      <w:r w:rsidRPr="003E5B51">
        <w:rPr>
          <w:rFonts w:ascii="Palatino Linotype" w:hAnsi="Palatino Linotype"/>
        </w:rPr>
        <w:t xml:space="preserve"> and/or for the Lay Client and the nature of the Case.  To the extent any such information is not already in the public domain, the Barrister may only refer to it for marketing purposes in a form which sufficiently preserves the Lay Client’s privilege and confidentiality and (where the law so requires) with the Lay Client’s consent.</w:t>
      </w:r>
      <w:bookmarkEnd w:id="10"/>
    </w:p>
    <w:p w14:paraId="027AF2FC" w14:textId="77777777" w:rsidR="00757EF7" w:rsidRPr="003E5B51" w:rsidRDefault="00757EF7" w:rsidP="008D75CE">
      <w:pPr>
        <w:rPr>
          <w:rFonts w:ascii="Palatino Linotype" w:hAnsi="Palatino Linotype"/>
        </w:rPr>
      </w:pPr>
    </w:p>
    <w:p w14:paraId="41C861CF" w14:textId="77777777" w:rsidR="00757EF7" w:rsidRPr="003E5B51" w:rsidRDefault="00757EF7" w:rsidP="008D75CE">
      <w:pPr>
        <w:pStyle w:val="Heading2"/>
        <w:numPr>
          <w:ilvl w:val="0"/>
          <w:numId w:val="14"/>
        </w:numPr>
        <w:rPr>
          <w:rFonts w:ascii="Palatino Linotype" w:hAnsi="Palatino Linotype"/>
        </w:rPr>
      </w:pPr>
      <w:bookmarkStart w:id="11" w:name="_Toc326333194"/>
      <w:r w:rsidRPr="003E5B51">
        <w:rPr>
          <w:rFonts w:ascii="Palatino Linotype" w:hAnsi="Palatino Linotype"/>
        </w:rPr>
        <w:t>ELECTRONIC COMMUNICATION</w:t>
      </w:r>
      <w:bookmarkEnd w:id="11"/>
    </w:p>
    <w:p w14:paraId="3F5D237F"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Unless otherwise directed by the </w:t>
      </w:r>
      <w:r>
        <w:rPr>
          <w:rFonts w:ascii="Palatino Linotype" w:hAnsi="Palatino Linotype"/>
        </w:rPr>
        <w:t>Authorised Person</w:t>
      </w:r>
      <w:r w:rsidRPr="003E5B51">
        <w:rPr>
          <w:rFonts w:ascii="Palatino Linotype" w:hAnsi="Palatino Linotype"/>
        </w:rPr>
        <w:t>, the Barrister may correspond by means of electronic mail, the parties agreeing hereby:</w:t>
      </w:r>
    </w:p>
    <w:p w14:paraId="73279766"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to accept the risks of using electronic mail, including but not limited to the risks of viruses, interception and unauthorised access; and</w:t>
      </w:r>
    </w:p>
    <w:p w14:paraId="50E82335"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lastRenderedPageBreak/>
        <w:t>to use commercially reasonable procedures to maintain security of electronic mail and to check for commonly known viruses in information sent and received electronically.</w:t>
      </w:r>
    </w:p>
    <w:p w14:paraId="749B8B88" w14:textId="77777777" w:rsidR="00757EF7" w:rsidRPr="003E5B51" w:rsidRDefault="00757EF7" w:rsidP="008D75CE">
      <w:pPr>
        <w:rPr>
          <w:rFonts w:ascii="Palatino Linotype" w:hAnsi="Palatino Linotype"/>
        </w:rPr>
      </w:pPr>
    </w:p>
    <w:p w14:paraId="0E44D419" w14:textId="77777777" w:rsidR="00757EF7" w:rsidRPr="003E5B51" w:rsidRDefault="00757EF7" w:rsidP="005B1D66">
      <w:pPr>
        <w:pStyle w:val="Heading2"/>
        <w:numPr>
          <w:ilvl w:val="0"/>
          <w:numId w:val="14"/>
        </w:numPr>
        <w:spacing w:after="160"/>
        <w:rPr>
          <w:rFonts w:ascii="Palatino Linotype" w:hAnsi="Palatino Linotype"/>
        </w:rPr>
      </w:pPr>
      <w:bookmarkStart w:id="12" w:name="_Toc326333195"/>
      <w:smartTag w:uri="urn:schemas-microsoft-com:office:smarttags" w:element="stockticker">
        <w:r w:rsidRPr="003E5B51">
          <w:rPr>
            <w:rFonts w:ascii="Palatino Linotype" w:hAnsi="Palatino Linotype"/>
          </w:rPr>
          <w:t>DATA</w:t>
        </w:r>
      </w:smartTag>
      <w:r w:rsidRPr="003E5B51">
        <w:rPr>
          <w:rFonts w:ascii="Palatino Linotype" w:hAnsi="Palatino Linotype"/>
        </w:rPr>
        <w:t xml:space="preserve"> PROTECTION</w:t>
      </w:r>
      <w:bookmarkEnd w:id="12"/>
    </w:p>
    <w:p w14:paraId="018987F2" w14:textId="77777777" w:rsidR="005B1D66" w:rsidRDefault="005B1D66" w:rsidP="005B1D66">
      <w:pPr>
        <w:pStyle w:val="Default"/>
        <w:numPr>
          <w:ilvl w:val="1"/>
          <w:numId w:val="14"/>
        </w:numPr>
        <w:spacing w:after="160"/>
        <w:rPr>
          <w:sz w:val="22"/>
          <w:szCs w:val="22"/>
        </w:rPr>
      </w:pPr>
      <w:r>
        <w:rPr>
          <w:sz w:val="22"/>
          <w:szCs w:val="22"/>
        </w:rPr>
        <w:t xml:space="preserve">The Barrister is a data controller for the purposes of the General Data Protection Regulation (Regulation (EU) 2016/679) and Data Protection Act 2018 and is bound by the Regulation and the Act amongst other things, to implement appropriate technical and organisational measures to ensure an appropriate level of security of personal data including protection against unauthorised or unlawful processing and against accidental loss, destruction or damage. The Barrister is entitled to process (which includes obtaining, consulting, holding, using and disclosing) personal data of the Lay Client, the Authorised Person and others: to enable him to provide the Services; to liaise with the Authorised Person in respect of the Lay Client’s case or on the Lay Client’s behalf; to pursue his legitimate interests, including maintaining and updating client records, producing management data, preventing crime, and publicising his activities as set out in clause 5.5 above, except where those interests are overridden by the interests or fundamental rights and freedoms of the data subject which require protection of personal data; and to comply with legal and regulatory requirements to which he is subject. </w:t>
      </w:r>
    </w:p>
    <w:p w14:paraId="1430FF9F" w14:textId="77777777" w:rsidR="005B1D66" w:rsidRDefault="005B1D66" w:rsidP="005B1D66">
      <w:pPr>
        <w:pStyle w:val="Default"/>
        <w:numPr>
          <w:ilvl w:val="1"/>
          <w:numId w:val="14"/>
        </w:numPr>
        <w:spacing w:after="160"/>
        <w:rPr>
          <w:sz w:val="22"/>
          <w:szCs w:val="22"/>
        </w:rPr>
      </w:pPr>
      <w:r w:rsidRPr="005B1D66">
        <w:rPr>
          <w:sz w:val="22"/>
          <w:szCs w:val="22"/>
        </w:rPr>
        <w:t>The Barrister will process personal data in accordance with the Barrister’s privacy notice.</w:t>
      </w:r>
    </w:p>
    <w:p w14:paraId="36CB2CC9" w14:textId="77777777" w:rsidR="005B1D66" w:rsidRDefault="005B1D66" w:rsidP="005B1D66">
      <w:pPr>
        <w:pStyle w:val="Default"/>
        <w:numPr>
          <w:ilvl w:val="1"/>
          <w:numId w:val="14"/>
        </w:numPr>
        <w:spacing w:after="160"/>
        <w:rPr>
          <w:sz w:val="22"/>
          <w:szCs w:val="22"/>
        </w:rPr>
      </w:pPr>
      <w:r w:rsidRPr="005B1D66">
        <w:rPr>
          <w:sz w:val="22"/>
          <w:szCs w:val="22"/>
        </w:rPr>
        <w:t>The Lay Client and the Authorised Person each have, subject to the exemptions provided in the Regulation and the Act</w:t>
      </w:r>
      <w:r>
        <w:rPr>
          <w:sz w:val="22"/>
          <w:szCs w:val="22"/>
        </w:rPr>
        <w:t>:</w:t>
      </w:r>
      <w:r w:rsidRPr="005B1D66">
        <w:rPr>
          <w:sz w:val="22"/>
          <w:szCs w:val="22"/>
        </w:rPr>
        <w:t xml:space="preserve"> </w:t>
      </w:r>
    </w:p>
    <w:p w14:paraId="2B81FEF0" w14:textId="77777777" w:rsidR="005B1D66" w:rsidRDefault="005B1D66" w:rsidP="005B1D66">
      <w:pPr>
        <w:pStyle w:val="Default"/>
        <w:numPr>
          <w:ilvl w:val="2"/>
          <w:numId w:val="14"/>
        </w:numPr>
        <w:spacing w:after="160"/>
        <w:rPr>
          <w:sz w:val="22"/>
          <w:szCs w:val="22"/>
        </w:rPr>
      </w:pPr>
      <w:r w:rsidRPr="005B1D66">
        <w:rPr>
          <w:sz w:val="22"/>
          <w:szCs w:val="22"/>
        </w:rPr>
        <w:t xml:space="preserve">the right of access to their personal data </w:t>
      </w:r>
    </w:p>
    <w:p w14:paraId="351E0C2A" w14:textId="77777777" w:rsidR="005B1D66" w:rsidRDefault="005B1D66" w:rsidP="005B1D66">
      <w:pPr>
        <w:pStyle w:val="Default"/>
        <w:numPr>
          <w:ilvl w:val="3"/>
          <w:numId w:val="14"/>
        </w:numPr>
        <w:spacing w:after="160"/>
        <w:rPr>
          <w:sz w:val="22"/>
          <w:szCs w:val="22"/>
        </w:rPr>
      </w:pPr>
      <w:r w:rsidRPr="005B1D66">
        <w:rPr>
          <w:sz w:val="22"/>
          <w:szCs w:val="22"/>
        </w:rPr>
        <w:t xml:space="preserve">for the purpose of rectification or erasure of their personal data or restriction of processing concerning the data subject or to object to </w:t>
      </w:r>
      <w:proofErr w:type="gramStart"/>
      <w:r w:rsidRPr="005B1D66">
        <w:rPr>
          <w:sz w:val="22"/>
          <w:szCs w:val="22"/>
        </w:rPr>
        <w:t>processing;</w:t>
      </w:r>
      <w:proofErr w:type="gramEnd"/>
      <w:r w:rsidRPr="005B1D66">
        <w:rPr>
          <w:sz w:val="22"/>
          <w:szCs w:val="22"/>
        </w:rPr>
        <w:t xml:space="preserve"> </w:t>
      </w:r>
    </w:p>
    <w:p w14:paraId="5CC56BF7" w14:textId="77777777" w:rsidR="005B1D66" w:rsidRPr="005B1D66" w:rsidRDefault="005B1D66" w:rsidP="005B1D66">
      <w:pPr>
        <w:pStyle w:val="Default"/>
        <w:numPr>
          <w:ilvl w:val="3"/>
          <w:numId w:val="14"/>
        </w:numPr>
        <w:spacing w:after="160"/>
        <w:rPr>
          <w:sz w:val="22"/>
          <w:szCs w:val="22"/>
        </w:rPr>
      </w:pPr>
      <w:r w:rsidRPr="005B1D66">
        <w:rPr>
          <w:sz w:val="22"/>
          <w:szCs w:val="22"/>
        </w:rPr>
        <w:t xml:space="preserve">to exercise their right to data portability; </w:t>
      </w:r>
    </w:p>
    <w:p w14:paraId="1CCBD23A" w14:textId="77777777" w:rsidR="005B1D66" w:rsidRDefault="005B1D66" w:rsidP="005B1D66">
      <w:pPr>
        <w:pStyle w:val="Default"/>
        <w:numPr>
          <w:ilvl w:val="2"/>
          <w:numId w:val="14"/>
        </w:numPr>
        <w:spacing w:after="160"/>
        <w:rPr>
          <w:sz w:val="22"/>
          <w:szCs w:val="22"/>
        </w:rPr>
      </w:pPr>
      <w:r>
        <w:rPr>
          <w:sz w:val="22"/>
          <w:szCs w:val="22"/>
        </w:rPr>
        <w:t xml:space="preserve">the right to withdraw consent to the processing of personal data (it being understood that, in the event of such withdrawal of consent, the Barrister may no longer be able to continue to act and that the Barrister may continue to process the personal data for purposes which are permitted by law notwithstanding the withdrawal of consent); </w:t>
      </w:r>
    </w:p>
    <w:p w14:paraId="524CB956" w14:textId="77777777" w:rsidR="005B1D66" w:rsidRDefault="005B1D66" w:rsidP="005B1D66">
      <w:pPr>
        <w:pStyle w:val="Default"/>
        <w:numPr>
          <w:ilvl w:val="2"/>
          <w:numId w:val="14"/>
        </w:numPr>
        <w:spacing w:after="160"/>
        <w:rPr>
          <w:sz w:val="22"/>
          <w:szCs w:val="22"/>
        </w:rPr>
      </w:pPr>
      <w:r w:rsidRPr="005B1D66">
        <w:rPr>
          <w:sz w:val="22"/>
          <w:szCs w:val="22"/>
        </w:rPr>
        <w:t xml:space="preserve">the right to lodge a complaint with the Information Commissioner. </w:t>
      </w:r>
    </w:p>
    <w:p w14:paraId="646EEFE8" w14:textId="77777777" w:rsidR="005B1D66" w:rsidRPr="005B1D66" w:rsidRDefault="005B1D66" w:rsidP="005B1D66">
      <w:pPr>
        <w:pStyle w:val="Default"/>
        <w:numPr>
          <w:ilvl w:val="1"/>
          <w:numId w:val="14"/>
        </w:numPr>
        <w:spacing w:after="160"/>
        <w:rPr>
          <w:sz w:val="22"/>
          <w:szCs w:val="22"/>
        </w:rPr>
      </w:pPr>
      <w:r w:rsidRPr="005B1D66">
        <w:rPr>
          <w:sz w:val="22"/>
          <w:szCs w:val="22"/>
        </w:rPr>
        <w:t xml:space="preserve">The Authorised Person consents to the processing of his personal data in accordance with paragraphs 7.1 and 7.2 hereof and hereby warrants [and undertakes] that he has informed the Lay Client of the processing by the Barrister of the personal data in accordance with paragraphs 7.1 and 7.2, has provided a copy of these terms to the Lay Client, and has obtained a written confirmation from the Lay Client recording both the consent from the Lay Client to the processing for the purposes specified paragraphs 7.1 and 7.2 and the acknowledgement from the lay client that he has been notified of his rights under clause 7.3, which confirmation the Authorised Person undertakes to produce upon demand. </w:t>
      </w:r>
    </w:p>
    <w:p w14:paraId="0EF6850E" w14:textId="77777777" w:rsidR="00757EF7" w:rsidRPr="003E5B51" w:rsidRDefault="00757EF7" w:rsidP="008D75CE">
      <w:pPr>
        <w:rPr>
          <w:rFonts w:ascii="Palatino Linotype" w:hAnsi="Palatino Linotype"/>
        </w:rPr>
      </w:pPr>
    </w:p>
    <w:p w14:paraId="225B2189" w14:textId="77777777" w:rsidR="00757EF7" w:rsidRPr="003E5B51" w:rsidRDefault="00757EF7" w:rsidP="008D75CE">
      <w:pPr>
        <w:pStyle w:val="Heading2"/>
        <w:numPr>
          <w:ilvl w:val="0"/>
          <w:numId w:val="14"/>
        </w:numPr>
        <w:rPr>
          <w:rFonts w:ascii="Palatino Linotype" w:hAnsi="Palatino Linotype"/>
        </w:rPr>
      </w:pPr>
      <w:bookmarkStart w:id="13" w:name="_Ref235264834"/>
      <w:bookmarkStart w:id="14" w:name="_Toc326333196"/>
      <w:r w:rsidRPr="003E5B51">
        <w:rPr>
          <w:rFonts w:ascii="Palatino Linotype" w:hAnsi="Palatino Linotype"/>
        </w:rPr>
        <w:lastRenderedPageBreak/>
        <w:t>PROVIDING THE SERVICES</w:t>
      </w:r>
      <w:bookmarkEnd w:id="13"/>
      <w:bookmarkEnd w:id="14"/>
    </w:p>
    <w:p w14:paraId="1D224822"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The Barrister will exercise reasonable skill and care in providing the Services.  The Barrister acknowledges the existence of a duty of care owed to the Lay Client at common law, subject to his professional obligations to the Court and under the Code.</w:t>
      </w:r>
    </w:p>
    <w:p w14:paraId="4735FF24"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The Barrister will provide the Services by such date as may be agreed between the parties, and in any event will do so within a reasonable time having regard to the nature of the Instructions and his other pre-existing professional obligations as referred to in paragraph 701 of the Code.</w:t>
      </w:r>
    </w:p>
    <w:p w14:paraId="7D89EA28"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The Barrister may delegate the provision of any part of the Services but will remain responsible for the acts, omissions, defaults or negligence of any delegate as if they were the acts, omissions, defaults or negligence of the Barrister.</w:t>
      </w:r>
    </w:p>
    <w:p w14:paraId="2EE8F7D2"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Barrister will, in addition, provide all information reasonably required to enable the Lay Client and/or </w:t>
      </w:r>
      <w:r>
        <w:rPr>
          <w:rFonts w:ascii="Palatino Linotype" w:hAnsi="Palatino Linotype"/>
        </w:rPr>
        <w:t>Authorised Person</w:t>
      </w:r>
      <w:r w:rsidRPr="003E5B51">
        <w:rPr>
          <w:rFonts w:ascii="Palatino Linotype" w:hAnsi="Palatino Linotype"/>
        </w:rPr>
        <w:t xml:space="preserve"> to assess what costs have been incurred and to obtain and enforce any order or agreement to pay costs against any third party.</w:t>
      </w:r>
    </w:p>
    <w:p w14:paraId="3A77ED5C" w14:textId="77777777" w:rsidR="00757EF7" w:rsidRPr="003E5B51" w:rsidRDefault="00757EF7" w:rsidP="008D75CE">
      <w:pPr>
        <w:rPr>
          <w:rFonts w:ascii="Palatino Linotype" w:hAnsi="Palatino Linotype"/>
        </w:rPr>
      </w:pPr>
    </w:p>
    <w:p w14:paraId="25D9B37F" w14:textId="77777777" w:rsidR="00757EF7" w:rsidRPr="003E5B51" w:rsidRDefault="00757EF7" w:rsidP="008D75CE">
      <w:pPr>
        <w:pStyle w:val="Heading2"/>
        <w:numPr>
          <w:ilvl w:val="0"/>
          <w:numId w:val="14"/>
        </w:numPr>
        <w:rPr>
          <w:rFonts w:ascii="Palatino Linotype" w:hAnsi="Palatino Linotype"/>
        </w:rPr>
      </w:pPr>
      <w:bookmarkStart w:id="15" w:name="_Toc326333197"/>
      <w:r w:rsidRPr="003E5B51">
        <w:rPr>
          <w:rFonts w:ascii="Palatino Linotype" w:hAnsi="Palatino Linotype"/>
        </w:rPr>
        <w:t>INTELLECTUAL PROPERTY RIGHTS</w:t>
      </w:r>
      <w:bookmarkEnd w:id="15"/>
    </w:p>
    <w:p w14:paraId="2BC7D725"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All copyright and other intellectual property rights of whatever nature in or attaching to the </w:t>
      </w:r>
      <w:r>
        <w:rPr>
          <w:rFonts w:ascii="Palatino Linotype" w:hAnsi="Palatino Linotype"/>
        </w:rPr>
        <w:t xml:space="preserve">Barrister’s work </w:t>
      </w:r>
      <w:r w:rsidRPr="003E5B51">
        <w:rPr>
          <w:rFonts w:ascii="Palatino Linotype" w:hAnsi="Palatino Linotype"/>
        </w:rPr>
        <w:t xml:space="preserve">product, including all documents, reports, written advice or other materials provided by the Barrister to the </w:t>
      </w:r>
      <w:r>
        <w:rPr>
          <w:rFonts w:ascii="Palatino Linotype" w:hAnsi="Palatino Linotype"/>
        </w:rPr>
        <w:t>Authorised Person</w:t>
      </w:r>
      <w:r w:rsidRPr="003E5B51">
        <w:rPr>
          <w:rFonts w:ascii="Palatino Linotype" w:hAnsi="Palatino Linotype"/>
        </w:rPr>
        <w:t xml:space="preserve"> or the Lay Client belong to and remain with the Barrister.  The </w:t>
      </w:r>
      <w:r>
        <w:rPr>
          <w:rFonts w:ascii="Palatino Linotype" w:hAnsi="Palatino Linotype"/>
        </w:rPr>
        <w:t>Authorised Person</w:t>
      </w:r>
      <w:r w:rsidRPr="003E5B51">
        <w:rPr>
          <w:rFonts w:ascii="Palatino Linotype" w:hAnsi="Palatino Linotype"/>
        </w:rPr>
        <w:t xml:space="preserve"> and the Lay Client have the right and licence to use the </w:t>
      </w:r>
      <w:r>
        <w:rPr>
          <w:rFonts w:ascii="Palatino Linotype" w:hAnsi="Palatino Linotype"/>
        </w:rPr>
        <w:t xml:space="preserve">Barrister’s work </w:t>
      </w:r>
      <w:r w:rsidRPr="003E5B51">
        <w:rPr>
          <w:rFonts w:ascii="Palatino Linotype" w:hAnsi="Palatino Linotype"/>
        </w:rPr>
        <w:t xml:space="preserve">product for the </w:t>
      </w:r>
      <w:proofErr w:type="gramStart"/>
      <w:r w:rsidRPr="003E5B51">
        <w:rPr>
          <w:rFonts w:ascii="Palatino Linotype" w:hAnsi="Palatino Linotype"/>
        </w:rPr>
        <w:t>particular Case</w:t>
      </w:r>
      <w:proofErr w:type="gramEnd"/>
      <w:r w:rsidRPr="003E5B51">
        <w:rPr>
          <w:rFonts w:ascii="Palatino Linotype" w:hAnsi="Palatino Linotype"/>
        </w:rPr>
        <w:t xml:space="preserve"> and the particular purpose for which </w:t>
      </w:r>
      <w:r>
        <w:rPr>
          <w:rFonts w:ascii="Palatino Linotype" w:hAnsi="Palatino Linotype"/>
        </w:rPr>
        <w:t xml:space="preserve">it is </w:t>
      </w:r>
      <w:r w:rsidRPr="003E5B51">
        <w:rPr>
          <w:rFonts w:ascii="Palatino Linotype" w:hAnsi="Palatino Linotype"/>
        </w:rPr>
        <w:t xml:space="preserve">prepared.  If the </w:t>
      </w:r>
      <w:r>
        <w:rPr>
          <w:rFonts w:ascii="Palatino Linotype" w:hAnsi="Palatino Linotype"/>
        </w:rPr>
        <w:t>Authorised Person</w:t>
      </w:r>
      <w:r w:rsidRPr="003E5B51">
        <w:rPr>
          <w:rFonts w:ascii="Palatino Linotype" w:hAnsi="Palatino Linotype"/>
        </w:rPr>
        <w:t xml:space="preserve"> or the Lay Client wishes to use copies of the </w:t>
      </w:r>
      <w:r>
        <w:rPr>
          <w:rFonts w:ascii="Palatino Linotype" w:hAnsi="Palatino Linotype"/>
        </w:rPr>
        <w:t xml:space="preserve">Barrister’s work </w:t>
      </w:r>
      <w:r w:rsidRPr="003E5B51">
        <w:rPr>
          <w:rFonts w:ascii="Palatino Linotype" w:hAnsi="Palatino Linotype"/>
        </w:rPr>
        <w:t xml:space="preserve">product for purposes other than those for which </w:t>
      </w:r>
      <w:r>
        <w:rPr>
          <w:rFonts w:ascii="Palatino Linotype" w:hAnsi="Palatino Linotype"/>
        </w:rPr>
        <w:t xml:space="preserve">it is </w:t>
      </w:r>
      <w:r w:rsidRPr="003E5B51">
        <w:rPr>
          <w:rFonts w:ascii="Palatino Linotype" w:hAnsi="Palatino Linotype"/>
        </w:rPr>
        <w:t xml:space="preserve">prepared, this will require the express written permission of the Barrister.  The moral rights of the Barrister in respect of </w:t>
      </w:r>
      <w:r>
        <w:rPr>
          <w:rFonts w:ascii="Palatino Linotype" w:hAnsi="Palatino Linotype"/>
        </w:rPr>
        <w:t xml:space="preserve">his work </w:t>
      </w:r>
      <w:r w:rsidRPr="003E5B51">
        <w:rPr>
          <w:rFonts w:ascii="Palatino Linotype" w:hAnsi="Palatino Linotype"/>
        </w:rPr>
        <w:t>product are asserted.</w:t>
      </w:r>
    </w:p>
    <w:p w14:paraId="2C956F46" w14:textId="77777777" w:rsidR="00757EF7" w:rsidRPr="003E5B51" w:rsidRDefault="00757EF7" w:rsidP="008D75CE">
      <w:pPr>
        <w:rPr>
          <w:rFonts w:ascii="Palatino Linotype" w:hAnsi="Palatino Linotype"/>
        </w:rPr>
      </w:pPr>
    </w:p>
    <w:p w14:paraId="7BDA992F" w14:textId="77777777" w:rsidR="00757EF7" w:rsidRPr="003E5B51" w:rsidRDefault="00757EF7" w:rsidP="008D75CE">
      <w:pPr>
        <w:pStyle w:val="Heading2"/>
        <w:numPr>
          <w:ilvl w:val="0"/>
          <w:numId w:val="14"/>
        </w:numPr>
        <w:rPr>
          <w:rFonts w:ascii="Palatino Linotype" w:hAnsi="Palatino Linotype"/>
        </w:rPr>
      </w:pPr>
      <w:bookmarkStart w:id="16" w:name="_Toc326333198"/>
      <w:r w:rsidRPr="003E5B51">
        <w:rPr>
          <w:rFonts w:ascii="Palatino Linotype" w:hAnsi="Palatino Linotype"/>
        </w:rPr>
        <w:t>LIABILITY</w:t>
      </w:r>
      <w:bookmarkEnd w:id="16"/>
    </w:p>
    <w:p w14:paraId="0C33883A"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Subject to Clause 10.2 below, the Barrister is not liable:</w:t>
      </w:r>
    </w:p>
    <w:p w14:paraId="2FFDDF21"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For any loss or damage, however suffered, by any person other than the Lay Client;</w:t>
      </w:r>
    </w:p>
    <w:p w14:paraId="3965C876"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for any loss or damage, however suffered, which is caused by inaccurate, incomplete or late Instructions;</w:t>
      </w:r>
    </w:p>
    <w:p w14:paraId="10C817AF" w14:textId="77777777" w:rsidR="00757EF7" w:rsidRDefault="00757EF7" w:rsidP="008D75CE">
      <w:pPr>
        <w:numPr>
          <w:ilvl w:val="2"/>
          <w:numId w:val="14"/>
        </w:numPr>
        <w:rPr>
          <w:rFonts w:ascii="Palatino Linotype" w:hAnsi="Palatino Linotype"/>
        </w:rPr>
      </w:pPr>
      <w:r w:rsidRPr="003E5B51">
        <w:rPr>
          <w:rFonts w:ascii="Palatino Linotype" w:hAnsi="Palatino Linotype"/>
        </w:rPr>
        <w:t>for any indirect or consequential loss however suffered.</w:t>
      </w:r>
    </w:p>
    <w:p w14:paraId="67414C9E" w14:textId="77777777" w:rsidR="00757EF7" w:rsidRPr="00940307" w:rsidRDefault="00757EF7" w:rsidP="00940307">
      <w:pPr>
        <w:numPr>
          <w:ilvl w:val="1"/>
          <w:numId w:val="14"/>
        </w:numPr>
        <w:rPr>
          <w:rFonts w:ascii="Palatino Linotype" w:hAnsi="Palatino Linotype"/>
        </w:rPr>
      </w:pPr>
      <w:r w:rsidRPr="00940307">
        <w:rPr>
          <w:rFonts w:ascii="Palatino Linotype" w:hAnsi="Palatino Linotype"/>
        </w:rPr>
        <w:t xml:space="preserve">Nothing in Clause 10.1 shall operate </w:t>
      </w:r>
      <w:proofErr w:type="gramStart"/>
      <w:r w:rsidRPr="00940307">
        <w:rPr>
          <w:rFonts w:ascii="Palatino Linotype" w:hAnsi="Palatino Linotype"/>
        </w:rPr>
        <w:t>so as to</w:t>
      </w:r>
      <w:proofErr w:type="gramEnd"/>
      <w:r w:rsidRPr="00940307">
        <w:rPr>
          <w:rFonts w:ascii="Palatino Linotype" w:hAnsi="Palatino Linotype"/>
        </w:rPr>
        <w:t xml:space="preserve"> exclude liability where such exclusion is prohibited by law.</w:t>
      </w:r>
    </w:p>
    <w:p w14:paraId="4F254481" w14:textId="77777777" w:rsidR="00757EF7" w:rsidRDefault="00757EF7" w:rsidP="008D75CE">
      <w:pPr>
        <w:numPr>
          <w:ilvl w:val="1"/>
          <w:numId w:val="14"/>
        </w:numPr>
        <w:rPr>
          <w:rFonts w:ascii="Palatino Linotype" w:hAnsi="Palatino Linotype"/>
        </w:rPr>
      </w:pPr>
      <w:r w:rsidRPr="00940307">
        <w:rPr>
          <w:rFonts w:ascii="Palatino Linotype" w:hAnsi="Palatino Linotype"/>
        </w:rPr>
        <w:t xml:space="preserve">Nothing in this agreement </w:t>
      </w:r>
      <w:r w:rsidR="009B4FE8">
        <w:rPr>
          <w:rFonts w:ascii="Palatino Linotype" w:hAnsi="Palatino Linotype"/>
        </w:rPr>
        <w:t xml:space="preserve">or </w:t>
      </w:r>
      <w:r w:rsidRPr="00940307">
        <w:rPr>
          <w:rFonts w:ascii="Palatino Linotype" w:hAnsi="Palatino Linotype"/>
        </w:rPr>
        <w:t xml:space="preserve">the Authorised Person’s standard terms of </w:t>
      </w:r>
      <w:r w:rsidR="00CC6581">
        <w:rPr>
          <w:rFonts w:ascii="Palatino Linotype" w:hAnsi="Palatino Linotype"/>
        </w:rPr>
        <w:t xml:space="preserve">business shall give rise to a liability on the </w:t>
      </w:r>
      <w:r w:rsidRPr="00940307">
        <w:rPr>
          <w:rFonts w:ascii="Palatino Linotype" w:hAnsi="Palatino Linotype"/>
        </w:rPr>
        <w:t>Barrister</w:t>
      </w:r>
      <w:r w:rsidR="00CC6581">
        <w:rPr>
          <w:rFonts w:ascii="Palatino Linotype" w:hAnsi="Palatino Linotype"/>
        </w:rPr>
        <w:t xml:space="preserve"> </w:t>
      </w:r>
      <w:r w:rsidRPr="00940307">
        <w:rPr>
          <w:rFonts w:ascii="Palatino Linotype" w:hAnsi="Palatino Linotype"/>
        </w:rPr>
        <w:t>in contract, whether to the Authorised Person, the lay client or any third party</w:t>
      </w:r>
      <w:r w:rsidR="00650582">
        <w:rPr>
          <w:rFonts w:ascii="Palatino Linotype" w:hAnsi="Palatino Linotype"/>
        </w:rPr>
        <w:t xml:space="preserve"> and whether in respect of damages, interest, costs or any other form of claim</w:t>
      </w:r>
      <w:r w:rsidRPr="00940307">
        <w:rPr>
          <w:rFonts w:ascii="Palatino Linotype" w:hAnsi="Palatino Linotype"/>
        </w:rPr>
        <w:t xml:space="preserve">, </w:t>
      </w:r>
      <w:r w:rsidR="00CC6581">
        <w:rPr>
          <w:rFonts w:ascii="Palatino Linotype" w:hAnsi="Palatino Linotype"/>
        </w:rPr>
        <w:t xml:space="preserve">which </w:t>
      </w:r>
      <w:r w:rsidRPr="00940307">
        <w:rPr>
          <w:rFonts w:ascii="Palatino Linotype" w:hAnsi="Palatino Linotype"/>
        </w:rPr>
        <w:t>exceed</w:t>
      </w:r>
      <w:r w:rsidR="00CC6581">
        <w:rPr>
          <w:rFonts w:ascii="Palatino Linotype" w:hAnsi="Palatino Linotype"/>
        </w:rPr>
        <w:t>s</w:t>
      </w:r>
      <w:r w:rsidRPr="00940307">
        <w:rPr>
          <w:rFonts w:ascii="Palatino Linotype" w:hAnsi="Palatino Linotype"/>
        </w:rPr>
        <w:t>, whether in the type</w:t>
      </w:r>
      <w:r w:rsidR="00650582">
        <w:rPr>
          <w:rFonts w:ascii="Palatino Linotype" w:hAnsi="Palatino Linotype"/>
        </w:rPr>
        <w:t xml:space="preserve">, </w:t>
      </w:r>
      <w:r w:rsidRPr="00940307">
        <w:rPr>
          <w:rFonts w:ascii="Palatino Linotype" w:hAnsi="Palatino Linotype"/>
        </w:rPr>
        <w:t xml:space="preserve">extent or quantum, </w:t>
      </w:r>
      <w:r>
        <w:rPr>
          <w:rFonts w:ascii="Palatino Linotype" w:hAnsi="Palatino Linotype"/>
        </w:rPr>
        <w:t xml:space="preserve">either </w:t>
      </w:r>
      <w:r w:rsidRPr="00940307">
        <w:rPr>
          <w:rFonts w:ascii="Palatino Linotype" w:hAnsi="Palatino Linotype"/>
        </w:rPr>
        <w:t xml:space="preserve">the </w:t>
      </w:r>
      <w:r>
        <w:rPr>
          <w:rFonts w:ascii="Palatino Linotype" w:hAnsi="Palatino Linotype"/>
        </w:rPr>
        <w:t>B</w:t>
      </w:r>
      <w:r w:rsidRPr="00940307">
        <w:rPr>
          <w:rFonts w:ascii="Palatino Linotype" w:hAnsi="Palatino Linotype"/>
        </w:rPr>
        <w:t>arrister’s liability at common law in tort were no contract to exist</w:t>
      </w:r>
      <w:r>
        <w:rPr>
          <w:rFonts w:ascii="Palatino Linotype" w:hAnsi="Palatino Linotype"/>
        </w:rPr>
        <w:t xml:space="preserve"> or the </w:t>
      </w:r>
      <w:r w:rsidR="00650582">
        <w:rPr>
          <w:rFonts w:ascii="Palatino Linotype" w:hAnsi="Palatino Linotype"/>
        </w:rPr>
        <w:t xml:space="preserve">limit of the </w:t>
      </w:r>
      <w:r>
        <w:rPr>
          <w:rFonts w:ascii="Palatino Linotype" w:hAnsi="Palatino Linotype"/>
        </w:rPr>
        <w:t xml:space="preserve">Barrister’s </w:t>
      </w:r>
      <w:r>
        <w:rPr>
          <w:rFonts w:ascii="Palatino Linotype" w:hAnsi="Palatino Linotype"/>
        </w:rPr>
        <w:lastRenderedPageBreak/>
        <w:t>professional liability insurance cover</w:t>
      </w:r>
      <w:r w:rsidR="00A87204">
        <w:rPr>
          <w:rFonts w:ascii="Palatino Linotype" w:hAnsi="Palatino Linotype"/>
        </w:rPr>
        <w:t xml:space="preserve"> as at the date on which he accepts the Instructions under this Agreement</w:t>
      </w:r>
      <w:r w:rsidRPr="00940307">
        <w:rPr>
          <w:rFonts w:ascii="Palatino Linotype" w:hAnsi="Palatino Linotype"/>
        </w:rPr>
        <w:t>.</w:t>
      </w:r>
    </w:p>
    <w:p w14:paraId="63C1F369" w14:textId="77777777" w:rsidR="00757EF7" w:rsidRDefault="00757EF7" w:rsidP="00940307">
      <w:pPr>
        <w:ind w:left="0" w:firstLine="0"/>
        <w:rPr>
          <w:rFonts w:ascii="Palatino Linotype" w:hAnsi="Palatino Linotype"/>
        </w:rPr>
      </w:pPr>
    </w:p>
    <w:p w14:paraId="22A3E83A" w14:textId="77777777" w:rsidR="00757EF7" w:rsidRPr="003E5B51" w:rsidRDefault="00757EF7" w:rsidP="008D75CE">
      <w:pPr>
        <w:pStyle w:val="Heading2"/>
        <w:numPr>
          <w:ilvl w:val="0"/>
          <w:numId w:val="14"/>
        </w:numPr>
        <w:rPr>
          <w:rFonts w:ascii="Palatino Linotype" w:hAnsi="Palatino Linotype"/>
        </w:rPr>
      </w:pPr>
      <w:bookmarkStart w:id="17" w:name="_Toc326333199"/>
      <w:r w:rsidRPr="003E5B51">
        <w:rPr>
          <w:rFonts w:ascii="Palatino Linotype" w:hAnsi="Palatino Linotype"/>
        </w:rPr>
        <w:t>FEES</w:t>
      </w:r>
      <w:bookmarkEnd w:id="17"/>
    </w:p>
    <w:p w14:paraId="0510ADD3" w14:textId="77777777" w:rsidR="00757EF7" w:rsidRPr="003E5B51" w:rsidRDefault="00757EF7" w:rsidP="008D75CE">
      <w:pPr>
        <w:numPr>
          <w:ilvl w:val="1"/>
          <w:numId w:val="14"/>
        </w:numPr>
        <w:rPr>
          <w:rFonts w:ascii="Palatino Linotype" w:hAnsi="Palatino Linotype"/>
        </w:rPr>
      </w:pPr>
      <w:bookmarkStart w:id="18" w:name="_Ref235498267"/>
      <w:r w:rsidRPr="003E5B51">
        <w:rPr>
          <w:rFonts w:ascii="Palatino Linotype" w:hAnsi="Palatino Linotype"/>
        </w:rPr>
        <w:t xml:space="preserve">The fee for the Services shall in all cases comply with paragraph 405 of the Code and will be calculated as agreed between the Barrister (or his clerk on his behalf) and the </w:t>
      </w:r>
      <w:r>
        <w:rPr>
          <w:rFonts w:ascii="Palatino Linotype" w:hAnsi="Palatino Linotype"/>
        </w:rPr>
        <w:t>Authorised Person</w:t>
      </w:r>
      <w:r w:rsidRPr="003E5B51">
        <w:rPr>
          <w:rFonts w:ascii="Palatino Linotype" w:hAnsi="Palatino Linotype"/>
        </w:rPr>
        <w:t>, whether prospectively or retrospectively.</w:t>
      </w:r>
      <w:bookmarkEnd w:id="18"/>
    </w:p>
    <w:p w14:paraId="6BE92655"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Barrister may agree to provide the Services for a fixed fee or may agree to provide the Services </w:t>
      </w:r>
      <w:proofErr w:type="gramStart"/>
      <w:r w:rsidRPr="003E5B51">
        <w:rPr>
          <w:rFonts w:ascii="Palatino Linotype" w:hAnsi="Palatino Linotype"/>
        </w:rPr>
        <w:t>on the basis of</w:t>
      </w:r>
      <w:proofErr w:type="gramEnd"/>
      <w:r w:rsidRPr="003E5B51">
        <w:rPr>
          <w:rFonts w:ascii="Palatino Linotype" w:hAnsi="Palatino Linotype"/>
        </w:rPr>
        <w:t xml:space="preserve"> an agreed hourly rate or on such other basis as may from time to time be agreed.  If an hourly rate is agreed:</w:t>
      </w:r>
    </w:p>
    <w:p w14:paraId="6A706AEF"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the agreed hourly rate will be subject to reasonable periodic review by the Barrister, and in addition may be reviewed by the Barrister to reflect any reasonably significant changes in his status or seniority;</w:t>
      </w:r>
    </w:p>
    <w:p w14:paraId="75C34DEE" w14:textId="44EFCE87" w:rsidR="00757EF7" w:rsidRPr="003E5B51" w:rsidRDefault="00757EF7" w:rsidP="008D75CE">
      <w:pPr>
        <w:numPr>
          <w:ilvl w:val="2"/>
          <w:numId w:val="14"/>
        </w:numPr>
        <w:rPr>
          <w:rFonts w:ascii="Palatino Linotype" w:hAnsi="Palatino Linotype"/>
        </w:rPr>
      </w:pPr>
      <w:r w:rsidRPr="003E5B51">
        <w:rPr>
          <w:rFonts w:ascii="Palatino Linotype" w:hAnsi="Palatino Linotype"/>
        </w:rPr>
        <w:t xml:space="preserve">any variation of the agreed hourly rate </w:t>
      </w:r>
      <w:r w:rsidR="00DF122B">
        <w:rPr>
          <w:rFonts w:ascii="Palatino Linotype" w:hAnsi="Palatino Linotype"/>
        </w:rPr>
        <w:t>and</w:t>
      </w:r>
      <w:r w:rsidRPr="003E5B51">
        <w:rPr>
          <w:rFonts w:ascii="Palatino Linotype" w:hAnsi="Palatino Linotype"/>
        </w:rPr>
        <w:t xml:space="preserve"> the date on which it shall take effect shall be agreed with the </w:t>
      </w:r>
      <w:r>
        <w:rPr>
          <w:rFonts w:ascii="Palatino Linotype" w:hAnsi="Palatino Linotype"/>
        </w:rPr>
        <w:t>Authorised Person</w:t>
      </w:r>
      <w:r w:rsidRPr="003E5B51">
        <w:rPr>
          <w:rFonts w:ascii="Palatino Linotype" w:hAnsi="Palatino Linotype"/>
        </w:rPr>
        <w:t xml:space="preserve">, and in default of agreement the Barrister shall be entitled to treat the Agreement as having been terminated by the </w:t>
      </w:r>
      <w:r>
        <w:rPr>
          <w:rFonts w:ascii="Palatino Linotype" w:hAnsi="Palatino Linotype"/>
        </w:rPr>
        <w:t>Authorised Person</w:t>
      </w:r>
      <w:r w:rsidRPr="003E5B51">
        <w:rPr>
          <w:rFonts w:ascii="Palatino Linotype" w:hAnsi="Palatino Linotype"/>
        </w:rPr>
        <w:t>, subject to the Barrister’s obligations under paragraph 610 of the Code.</w:t>
      </w:r>
    </w:p>
    <w:p w14:paraId="4ABC2DF8" w14:textId="375F34BC" w:rsidR="00E13E53" w:rsidRDefault="00E13E53" w:rsidP="008D75CE">
      <w:pPr>
        <w:numPr>
          <w:ilvl w:val="1"/>
          <w:numId w:val="14"/>
        </w:numPr>
        <w:rPr>
          <w:rFonts w:ascii="Palatino Linotype" w:hAnsi="Palatino Linotype"/>
        </w:rPr>
      </w:pPr>
      <w:r w:rsidRPr="00E13E53">
        <w:rPr>
          <w:rFonts w:ascii="Palatino Linotype" w:hAnsi="Palatino Linotype"/>
        </w:rPr>
        <w:t>If no fee or hourly rate is agreed, then the Barrister will charge for the time which he has spent on any work he has done at his usual hourly rate</w:t>
      </w:r>
      <w:r w:rsidR="009F355F">
        <w:rPr>
          <w:rFonts w:ascii="Palatino Linotype" w:hAnsi="Palatino Linotype"/>
        </w:rPr>
        <w:t>.</w:t>
      </w:r>
    </w:p>
    <w:p w14:paraId="4B01C7F4" w14:textId="7D7348C8" w:rsidR="00757EF7" w:rsidRPr="003E5B51" w:rsidRDefault="00757EF7" w:rsidP="008D75CE">
      <w:pPr>
        <w:numPr>
          <w:ilvl w:val="1"/>
          <w:numId w:val="14"/>
        </w:numPr>
        <w:rPr>
          <w:rFonts w:ascii="Palatino Linotype" w:hAnsi="Palatino Linotype"/>
        </w:rPr>
      </w:pPr>
      <w:r w:rsidRPr="003E5B51">
        <w:rPr>
          <w:rFonts w:ascii="Palatino Linotype" w:hAnsi="Palatino Linotype"/>
        </w:rPr>
        <w:t>The fee for the Barrister’s Services is exclusive of any applicable Value Added Tax (or any tax of a similar nature), which shall be added to the fee at the appropriate rate.</w:t>
      </w:r>
    </w:p>
    <w:p w14:paraId="1E60C4B1" w14:textId="77777777" w:rsidR="00757EF7" w:rsidRPr="003E5B51" w:rsidRDefault="00757EF7" w:rsidP="008D75CE">
      <w:pPr>
        <w:rPr>
          <w:rFonts w:ascii="Palatino Linotype" w:hAnsi="Palatino Linotype"/>
        </w:rPr>
      </w:pPr>
    </w:p>
    <w:p w14:paraId="0166871B" w14:textId="77777777" w:rsidR="00757EF7" w:rsidRPr="003E5B51" w:rsidRDefault="00757EF7" w:rsidP="008D75CE">
      <w:pPr>
        <w:pStyle w:val="Heading2"/>
        <w:numPr>
          <w:ilvl w:val="0"/>
          <w:numId w:val="14"/>
        </w:numPr>
        <w:rPr>
          <w:rFonts w:ascii="Palatino Linotype" w:hAnsi="Palatino Linotype"/>
        </w:rPr>
      </w:pPr>
      <w:bookmarkStart w:id="19" w:name="_Toc326333200"/>
      <w:r w:rsidRPr="003E5B51">
        <w:rPr>
          <w:rFonts w:ascii="Palatino Linotype" w:hAnsi="Palatino Linotype"/>
        </w:rPr>
        <w:t xml:space="preserve">BILLING, PAYMENT </w:t>
      </w:r>
      <w:smartTag w:uri="urn:schemas-microsoft-com:office:smarttags" w:element="stockticker">
        <w:r w:rsidRPr="003E5B51">
          <w:rPr>
            <w:rFonts w:ascii="Palatino Linotype" w:hAnsi="Palatino Linotype"/>
          </w:rPr>
          <w:t>AND</w:t>
        </w:r>
      </w:smartTag>
      <w:r w:rsidRPr="003E5B51">
        <w:rPr>
          <w:rFonts w:ascii="Palatino Linotype" w:hAnsi="Palatino Linotype"/>
        </w:rPr>
        <w:t xml:space="preserve"> INTEREST</w:t>
      </w:r>
      <w:bookmarkEnd w:id="19"/>
    </w:p>
    <w:p w14:paraId="5559D140" w14:textId="77777777" w:rsidR="00757EF7" w:rsidRPr="003E5B51" w:rsidRDefault="00757EF7" w:rsidP="008D75CE">
      <w:pPr>
        <w:numPr>
          <w:ilvl w:val="1"/>
          <w:numId w:val="14"/>
        </w:numPr>
        <w:rPr>
          <w:rFonts w:ascii="Palatino Linotype" w:hAnsi="Palatino Linotype"/>
        </w:rPr>
      </w:pPr>
      <w:bookmarkStart w:id="20" w:name="_Ref235237922"/>
      <w:r w:rsidRPr="003E5B51">
        <w:rPr>
          <w:rFonts w:ascii="Palatino Linotype" w:hAnsi="Palatino Linotype"/>
        </w:rPr>
        <w:t xml:space="preserve">The Barrister shall be entitled to deliver an Invoice to the </w:t>
      </w:r>
      <w:r>
        <w:rPr>
          <w:rFonts w:ascii="Palatino Linotype" w:hAnsi="Palatino Linotype"/>
        </w:rPr>
        <w:t>Authorised Person</w:t>
      </w:r>
      <w:r w:rsidRPr="003E5B51">
        <w:rPr>
          <w:rFonts w:ascii="Palatino Linotype" w:hAnsi="Palatino Linotype"/>
        </w:rPr>
        <w:t xml:space="preserve"> in respect of the Services or any completed part thereof and any disbursements at any time after supplying the Services or the relevant part thereof.</w:t>
      </w:r>
      <w:bookmarkEnd w:id="20"/>
    </w:p>
    <w:p w14:paraId="71BD782A"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Barrister shall deliver an Invoice to the </w:t>
      </w:r>
      <w:r>
        <w:rPr>
          <w:rFonts w:ascii="Palatino Linotype" w:hAnsi="Palatino Linotype"/>
        </w:rPr>
        <w:t>Authorised Person</w:t>
      </w:r>
      <w:r w:rsidRPr="003E5B51">
        <w:rPr>
          <w:rFonts w:ascii="Palatino Linotype" w:hAnsi="Palatino Linotype"/>
        </w:rPr>
        <w:t xml:space="preserve"> in respect of the Services or any part thereof and any disbursements as soon as reasonably practicable after and not more than 3 months from the earliest of: (a) a request by the </w:t>
      </w:r>
      <w:r>
        <w:rPr>
          <w:rFonts w:ascii="Palatino Linotype" w:hAnsi="Palatino Linotype"/>
        </w:rPr>
        <w:t>Authorised Person</w:t>
      </w:r>
      <w:r w:rsidRPr="003E5B51">
        <w:rPr>
          <w:rFonts w:ascii="Palatino Linotype" w:hAnsi="Palatino Linotype"/>
        </w:rPr>
        <w:t xml:space="preserve">; (b) notification by the </w:t>
      </w:r>
      <w:r>
        <w:rPr>
          <w:rFonts w:ascii="Palatino Linotype" w:hAnsi="Palatino Linotype"/>
        </w:rPr>
        <w:t>Authorised Person</w:t>
      </w:r>
      <w:r w:rsidRPr="003E5B51">
        <w:rPr>
          <w:rFonts w:ascii="Palatino Linotype" w:hAnsi="Palatino Linotype"/>
        </w:rPr>
        <w:t xml:space="preserve"> that the Case has settled or otherwise concluded; or (c) termination of the Agreement.</w:t>
      </w:r>
    </w:p>
    <w:p w14:paraId="0CB7C87D"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The Invoice must set out an itemised description of:</w:t>
      </w:r>
    </w:p>
    <w:p w14:paraId="0193262D"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the Services provided by the Barrister and the fees charged;</w:t>
      </w:r>
    </w:p>
    <w:p w14:paraId="052C39C2"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any disbursements incurred and the cost thereof; and</w:t>
      </w:r>
    </w:p>
    <w:p w14:paraId="0CB07DCE"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VAT (or any tax of a similar nature), if any.</w:t>
      </w:r>
    </w:p>
    <w:p w14:paraId="69D6FAE5"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must pay the Invoice within 30 days of delivery, time being of the essence, </w:t>
      </w:r>
      <w:proofErr w:type="gramStart"/>
      <w:r w:rsidRPr="003E5B51">
        <w:rPr>
          <w:rFonts w:ascii="Palatino Linotype" w:hAnsi="Palatino Linotype"/>
        </w:rPr>
        <w:t>whether or not</w:t>
      </w:r>
      <w:proofErr w:type="gramEnd"/>
      <w:r w:rsidRPr="003E5B51">
        <w:rPr>
          <w:rFonts w:ascii="Palatino Linotype" w:hAnsi="Palatino Linotype"/>
        </w:rPr>
        <w:t xml:space="preserve"> the </w:t>
      </w:r>
      <w:r>
        <w:rPr>
          <w:rFonts w:ascii="Palatino Linotype" w:hAnsi="Palatino Linotype"/>
        </w:rPr>
        <w:t>Authorised Person</w:t>
      </w:r>
      <w:r w:rsidRPr="003E5B51">
        <w:rPr>
          <w:rFonts w:ascii="Palatino Linotype" w:hAnsi="Palatino Linotype"/>
        </w:rPr>
        <w:t xml:space="preserve"> has been put in funds by the Lay Client.  The Invoice must be paid without any set-off (whether by reason of a complaint made or </w:t>
      </w:r>
      <w:r w:rsidRPr="003E5B51">
        <w:rPr>
          <w:rFonts w:ascii="Palatino Linotype" w:hAnsi="Palatino Linotype"/>
        </w:rPr>
        <w:lastRenderedPageBreak/>
        <w:t>dispute with the Barrister or otherwise), and without any deduction or withholding on account of any taxes or other charges.</w:t>
      </w:r>
    </w:p>
    <w:p w14:paraId="77640075"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Where the Barrister has delivered a fee note, on request by the </w:t>
      </w:r>
      <w:r>
        <w:rPr>
          <w:rFonts w:ascii="Palatino Linotype" w:hAnsi="Palatino Linotype"/>
        </w:rPr>
        <w:t>Authorised Person</w:t>
      </w:r>
      <w:r w:rsidRPr="003E5B51">
        <w:rPr>
          <w:rFonts w:ascii="Palatino Linotype" w:hAnsi="Palatino Linotype"/>
        </w:rPr>
        <w:t xml:space="preserve"> the Barrister will deliver a VAT invoice following receipt of payment.</w:t>
      </w:r>
    </w:p>
    <w:p w14:paraId="52726FAE"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If the Invoice remains outstanding more than 30 days from the date of delivery, the Barrister is entitled:</w:t>
      </w:r>
    </w:p>
    <w:p w14:paraId="0B3344B3"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to the fixed sum and interest in accordance with the Late Payment of Commercial Debts (Interest) Act 1998;</w:t>
      </w:r>
    </w:p>
    <w:p w14:paraId="48DF3C60"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 xml:space="preserve">to sue the </w:t>
      </w:r>
      <w:r>
        <w:rPr>
          <w:rFonts w:ascii="Palatino Linotype" w:hAnsi="Palatino Linotype"/>
        </w:rPr>
        <w:t>Authorised Person</w:t>
      </w:r>
      <w:r w:rsidRPr="003E5B51">
        <w:rPr>
          <w:rFonts w:ascii="Palatino Linotype" w:hAnsi="Palatino Linotype"/>
        </w:rPr>
        <w:t xml:space="preserve"> for payment; and</w:t>
      </w:r>
    </w:p>
    <w:p w14:paraId="371C154E" w14:textId="77777777" w:rsidR="00757EF7" w:rsidRPr="003E5B51" w:rsidRDefault="00757EF7" w:rsidP="008D75CE">
      <w:pPr>
        <w:numPr>
          <w:ilvl w:val="2"/>
          <w:numId w:val="14"/>
        </w:numPr>
        <w:rPr>
          <w:rFonts w:ascii="Palatino Linotype" w:hAnsi="Palatino Linotype"/>
        </w:rPr>
      </w:pPr>
      <w:r w:rsidRPr="003E5B51">
        <w:rPr>
          <w:rFonts w:ascii="Palatino Linotype" w:hAnsi="Palatino Linotype"/>
        </w:rPr>
        <w:t>subject to the Barrister’s obligations to the Court and under paragraph 610 of the Code, to refrain from doing any further work on the Case unless payment for that further work is made in advance.</w:t>
      </w:r>
    </w:p>
    <w:p w14:paraId="4B6A106D" w14:textId="77777777" w:rsidR="00757EF7" w:rsidRPr="003E5B51" w:rsidRDefault="00757EF7" w:rsidP="00925F52">
      <w:pPr>
        <w:ind w:firstLine="0"/>
        <w:rPr>
          <w:rFonts w:ascii="Palatino Linotype" w:hAnsi="Palatino Linotype"/>
        </w:rPr>
      </w:pPr>
    </w:p>
    <w:p w14:paraId="3F04FD30" w14:textId="77777777" w:rsidR="00757EF7" w:rsidRPr="003E5B51" w:rsidRDefault="00757EF7" w:rsidP="008D75CE">
      <w:pPr>
        <w:pStyle w:val="Heading2"/>
        <w:numPr>
          <w:ilvl w:val="0"/>
          <w:numId w:val="14"/>
        </w:numPr>
        <w:rPr>
          <w:rFonts w:ascii="Palatino Linotype" w:hAnsi="Palatino Linotype"/>
        </w:rPr>
      </w:pPr>
      <w:bookmarkStart w:id="21" w:name="_Ref240335621"/>
      <w:bookmarkStart w:id="22" w:name="_Toc326333201"/>
      <w:r w:rsidRPr="003E5B51">
        <w:rPr>
          <w:rFonts w:ascii="Palatino Linotype" w:hAnsi="Palatino Linotype"/>
        </w:rPr>
        <w:t>TERMINATION</w:t>
      </w:r>
      <w:bookmarkEnd w:id="21"/>
      <w:bookmarkEnd w:id="22"/>
    </w:p>
    <w:p w14:paraId="3D72013D"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w:t>
      </w:r>
      <w:r>
        <w:rPr>
          <w:rFonts w:ascii="Palatino Linotype" w:hAnsi="Palatino Linotype"/>
        </w:rPr>
        <w:t>Authorised Person</w:t>
      </w:r>
      <w:r w:rsidRPr="003E5B51">
        <w:rPr>
          <w:rFonts w:ascii="Palatino Linotype" w:hAnsi="Palatino Linotype"/>
        </w:rPr>
        <w:t xml:space="preserve"> may terminate the Agreement by giving notice to the Barrister in writing at any time.</w:t>
      </w:r>
    </w:p>
    <w:p w14:paraId="59A66317" w14:textId="77777777" w:rsidR="00757EF7" w:rsidRPr="003E5B51" w:rsidRDefault="00757EF7" w:rsidP="00AE2D3D">
      <w:pPr>
        <w:numPr>
          <w:ilvl w:val="1"/>
          <w:numId w:val="14"/>
        </w:numPr>
        <w:rPr>
          <w:rFonts w:ascii="Palatino Linotype" w:hAnsi="Palatino Linotype"/>
        </w:rPr>
      </w:pPr>
      <w:r w:rsidRPr="003E5B51">
        <w:rPr>
          <w:rFonts w:ascii="Palatino Linotype" w:hAnsi="Palatino Linotype"/>
        </w:rPr>
        <w:t>The Agreement will terminate automatically as soon as the Barrister is under an obligation pursuant to Part VI of the Code or otherwise to withdraw from the Case or to cease to act and has complied with any requirements of the Code in so doing.</w:t>
      </w:r>
      <w:r w:rsidRPr="00AE2D3D">
        <w:rPr>
          <w:rFonts w:ascii="Palatino Linotype" w:hAnsi="Palatino Linotype"/>
        </w:rPr>
        <w:t xml:space="preserve"> </w:t>
      </w:r>
    </w:p>
    <w:p w14:paraId="5F3452B4"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The Barrister may terminate the Agreement by written notice when he is entitled pursuant to Paragraphs 608 to 610 of the Code or otherwise to withdraw from the Case or cease to act and has complied with any requirements of the Code in so doing.</w:t>
      </w:r>
    </w:p>
    <w:p w14:paraId="7555AC10"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For the avoidance of doubt, termination of the Agreement, whether under this clause </w:t>
      </w:r>
      <w:r>
        <w:rPr>
          <w:rFonts w:ascii="Palatino Linotype" w:hAnsi="Palatino Linotype"/>
        </w:rPr>
        <w:t xml:space="preserve">13 </w:t>
      </w:r>
      <w:r w:rsidRPr="003E5B51">
        <w:rPr>
          <w:rFonts w:ascii="Palatino Linotype" w:hAnsi="Palatino Linotype"/>
        </w:rPr>
        <w:t>or otherwise, does not affect or prejudice any accrued liabilities, rights or remedies of the parties under the Agreement.</w:t>
      </w:r>
    </w:p>
    <w:p w14:paraId="72B6D87F" w14:textId="77777777" w:rsidR="00757EF7" w:rsidRPr="003E5B51" w:rsidRDefault="00757EF7" w:rsidP="008D75CE">
      <w:pPr>
        <w:rPr>
          <w:rFonts w:ascii="Palatino Linotype" w:hAnsi="Palatino Linotype"/>
        </w:rPr>
      </w:pPr>
    </w:p>
    <w:p w14:paraId="6B9C758C" w14:textId="77777777" w:rsidR="00757EF7" w:rsidRPr="003E5B51" w:rsidRDefault="00757EF7" w:rsidP="008D75CE">
      <w:pPr>
        <w:pStyle w:val="Heading2"/>
        <w:numPr>
          <w:ilvl w:val="0"/>
          <w:numId w:val="14"/>
        </w:numPr>
        <w:rPr>
          <w:rFonts w:ascii="Palatino Linotype" w:hAnsi="Palatino Linotype"/>
        </w:rPr>
      </w:pPr>
      <w:bookmarkStart w:id="23" w:name="_Toc326333202"/>
      <w:r w:rsidRPr="003E5B51">
        <w:rPr>
          <w:rFonts w:ascii="Palatino Linotype" w:hAnsi="Palatino Linotype"/>
        </w:rPr>
        <w:t>WAIVER</w:t>
      </w:r>
      <w:bookmarkEnd w:id="23"/>
    </w:p>
    <w:p w14:paraId="6C566DF9" w14:textId="77777777" w:rsidR="00757EF7" w:rsidRPr="003E5B51" w:rsidRDefault="00757EF7">
      <w:pPr>
        <w:numPr>
          <w:ilvl w:val="1"/>
          <w:numId w:val="14"/>
        </w:numPr>
        <w:rPr>
          <w:rFonts w:ascii="Palatino Linotype" w:hAnsi="Palatino Linotype"/>
        </w:rPr>
      </w:pPr>
      <w:r w:rsidRPr="003E5B51">
        <w:rPr>
          <w:rFonts w:ascii="Palatino Linotype" w:hAnsi="Palatino Linotype"/>
        </w:rPr>
        <w:t xml:space="preserve">Except where expressly stated, nothing done or not done by the Barrister or the </w:t>
      </w:r>
      <w:r>
        <w:rPr>
          <w:rFonts w:ascii="Palatino Linotype" w:hAnsi="Palatino Linotype"/>
        </w:rPr>
        <w:t>Authorised Person</w:t>
      </w:r>
      <w:r w:rsidRPr="003E5B51">
        <w:rPr>
          <w:rFonts w:ascii="Palatino Linotype" w:hAnsi="Palatino Linotype"/>
        </w:rPr>
        <w:t xml:space="preserve"> constitutes a waiver of that party’s rights under the Agreement.</w:t>
      </w:r>
    </w:p>
    <w:p w14:paraId="4AC5DBDF" w14:textId="77777777" w:rsidR="00757EF7" w:rsidRPr="003E5B51" w:rsidRDefault="00757EF7" w:rsidP="008D75CE">
      <w:pPr>
        <w:rPr>
          <w:rFonts w:ascii="Palatino Linotype" w:hAnsi="Palatino Linotype"/>
        </w:rPr>
      </w:pPr>
    </w:p>
    <w:p w14:paraId="2390E1F0" w14:textId="77777777" w:rsidR="00757EF7" w:rsidRPr="003E5B51" w:rsidRDefault="00757EF7" w:rsidP="008D75CE">
      <w:pPr>
        <w:pStyle w:val="Heading2"/>
        <w:numPr>
          <w:ilvl w:val="0"/>
          <w:numId w:val="14"/>
        </w:numPr>
        <w:rPr>
          <w:rFonts w:ascii="Palatino Linotype" w:hAnsi="Palatino Linotype"/>
        </w:rPr>
      </w:pPr>
      <w:bookmarkStart w:id="24" w:name="_Toc326333203"/>
      <w:r w:rsidRPr="003E5B51">
        <w:rPr>
          <w:rFonts w:ascii="Palatino Linotype" w:hAnsi="Palatino Linotype"/>
        </w:rPr>
        <w:t>SEVERABILITY</w:t>
      </w:r>
      <w:bookmarkEnd w:id="24"/>
    </w:p>
    <w:p w14:paraId="08388B8F"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If any provision of these Conditions is found by a competent court or administrative body of competent jurisdiction to be invalid or unenforceable for any reason, such invalidity or unenforceability shall not affect the other provisions of these Conditions which will remain in full force and effect.</w:t>
      </w:r>
    </w:p>
    <w:p w14:paraId="7C4E987B"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If any provision of these Conditions is found to be invalid or unenforceable but would be valid or enforceable if some part of the provision were deleted, the provision in question will apply with such deletions as may be necessary to make it valid and enforceable.</w:t>
      </w:r>
    </w:p>
    <w:p w14:paraId="6E3C94FA" w14:textId="77777777" w:rsidR="00757EF7" w:rsidRPr="003E5B51" w:rsidRDefault="00757EF7" w:rsidP="008D75CE">
      <w:pPr>
        <w:rPr>
          <w:rFonts w:ascii="Palatino Linotype" w:hAnsi="Palatino Linotype"/>
        </w:rPr>
      </w:pPr>
    </w:p>
    <w:p w14:paraId="252C230C" w14:textId="77777777" w:rsidR="00757EF7" w:rsidRPr="003E5B51" w:rsidRDefault="00757EF7" w:rsidP="008D75CE">
      <w:pPr>
        <w:pStyle w:val="Heading2"/>
        <w:numPr>
          <w:ilvl w:val="0"/>
          <w:numId w:val="14"/>
        </w:numPr>
        <w:rPr>
          <w:rFonts w:ascii="Palatino Linotype" w:hAnsi="Palatino Linotype"/>
        </w:rPr>
      </w:pPr>
      <w:bookmarkStart w:id="25" w:name="_Toc326333204"/>
      <w:r w:rsidRPr="003E5B51">
        <w:rPr>
          <w:rFonts w:ascii="Palatino Linotype" w:hAnsi="Palatino Linotype"/>
        </w:rPr>
        <w:t>EXCLUSION OF RIGHTS OF THIRD PARTIES</w:t>
      </w:r>
      <w:bookmarkEnd w:id="25"/>
    </w:p>
    <w:p w14:paraId="29495050" w14:textId="77777777" w:rsidR="00757EF7" w:rsidRDefault="00757EF7">
      <w:pPr>
        <w:rPr>
          <w:rFonts w:ascii="Palatino Linotype" w:hAnsi="Palatino Linotype"/>
        </w:rPr>
      </w:pPr>
      <w:r w:rsidRPr="003E5B51">
        <w:rPr>
          <w:rFonts w:ascii="Palatino Linotype" w:hAnsi="Palatino Linotype"/>
        </w:rPr>
        <w:t>16.1</w:t>
      </w:r>
      <w:r w:rsidRPr="003E5B51">
        <w:rPr>
          <w:rFonts w:ascii="Palatino Linotype" w:hAnsi="Palatino Linotype"/>
        </w:rPr>
        <w:tab/>
        <w:t xml:space="preserve">This Agreement governs the rights and obligations of the Barrister and the </w:t>
      </w:r>
      <w:r>
        <w:rPr>
          <w:rFonts w:ascii="Palatino Linotype" w:hAnsi="Palatino Linotype"/>
        </w:rPr>
        <w:t>Authorised Person</w:t>
      </w:r>
      <w:r w:rsidRPr="003E5B51">
        <w:rPr>
          <w:rFonts w:ascii="Palatino Linotype" w:hAnsi="Palatino Linotype"/>
        </w:rPr>
        <w:t xml:space="preserve"> towards each other and confers no benefit upon any third party (including the Lay Client).  The ability of third parties to enforce any rights under the Contracts (Rights of Third Parties) Act 1999 is hereby excluded. </w:t>
      </w:r>
    </w:p>
    <w:p w14:paraId="7C9AD571" w14:textId="77777777" w:rsidR="00757EF7" w:rsidRPr="003E5B51" w:rsidRDefault="00757EF7">
      <w:pPr>
        <w:rPr>
          <w:rFonts w:ascii="Palatino Linotype" w:hAnsi="Palatino Linotype"/>
        </w:rPr>
      </w:pPr>
    </w:p>
    <w:p w14:paraId="5AFB3BB9" w14:textId="77777777" w:rsidR="00757EF7" w:rsidRPr="003E5B51" w:rsidRDefault="00757EF7" w:rsidP="008D75CE">
      <w:pPr>
        <w:pStyle w:val="Heading2"/>
        <w:numPr>
          <w:ilvl w:val="0"/>
          <w:numId w:val="14"/>
        </w:numPr>
        <w:rPr>
          <w:rFonts w:ascii="Palatino Linotype" w:hAnsi="Palatino Linotype"/>
        </w:rPr>
      </w:pPr>
      <w:bookmarkStart w:id="26" w:name="_Toc326333205"/>
      <w:r w:rsidRPr="003E5B51">
        <w:rPr>
          <w:rFonts w:ascii="Palatino Linotype" w:hAnsi="Palatino Linotype"/>
        </w:rPr>
        <w:t>ENTIRE AGREEMENT</w:t>
      </w:r>
      <w:bookmarkEnd w:id="26"/>
    </w:p>
    <w:p w14:paraId="732F02CB"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Subject to clauses 2.2 and 11.1, the Agreement, incorporating these Conditions, comprises the entire agreement between the parties to the exclusion of all other terms and conditions and prior or collateral agreements, negotiations, notices of intention and representations and the parties agree that they have not been induced to enter into the Agreement on the basis of any representation.</w:t>
      </w:r>
    </w:p>
    <w:p w14:paraId="6D8B16BC" w14:textId="77777777" w:rsidR="00757EF7" w:rsidRPr="003E5B51" w:rsidRDefault="00757EF7" w:rsidP="008D75CE">
      <w:pPr>
        <w:rPr>
          <w:rFonts w:ascii="Palatino Linotype" w:hAnsi="Palatino Linotype"/>
        </w:rPr>
      </w:pPr>
    </w:p>
    <w:p w14:paraId="0BF42735" w14:textId="77777777" w:rsidR="00757EF7" w:rsidRPr="003E5B51" w:rsidRDefault="00757EF7" w:rsidP="008D75CE">
      <w:pPr>
        <w:pStyle w:val="Heading2"/>
        <w:numPr>
          <w:ilvl w:val="0"/>
          <w:numId w:val="14"/>
        </w:numPr>
        <w:rPr>
          <w:rFonts w:ascii="Palatino Linotype" w:hAnsi="Palatino Linotype"/>
        </w:rPr>
      </w:pPr>
      <w:bookmarkStart w:id="27" w:name="_Toc326333206"/>
      <w:r w:rsidRPr="003E5B51">
        <w:rPr>
          <w:rFonts w:ascii="Palatino Linotype" w:hAnsi="Palatino Linotype"/>
        </w:rPr>
        <w:t xml:space="preserve">NOTICES </w:t>
      </w:r>
      <w:smartTag w:uri="urn:schemas-microsoft-com:office:smarttags" w:element="stockticker">
        <w:r w:rsidRPr="003E5B51">
          <w:rPr>
            <w:rFonts w:ascii="Palatino Linotype" w:hAnsi="Palatino Linotype"/>
          </w:rPr>
          <w:t>AND</w:t>
        </w:r>
      </w:smartTag>
      <w:r w:rsidRPr="003E5B51">
        <w:rPr>
          <w:rFonts w:ascii="Palatino Linotype" w:hAnsi="Palatino Linotype"/>
        </w:rPr>
        <w:t xml:space="preserve"> DELIVERY</w:t>
      </w:r>
      <w:bookmarkEnd w:id="27"/>
    </w:p>
    <w:p w14:paraId="3090C7F0" w14:textId="77777777" w:rsidR="00757EF7" w:rsidRPr="003E5B51" w:rsidRDefault="00757EF7" w:rsidP="00AE2D3D">
      <w:pPr>
        <w:numPr>
          <w:ilvl w:val="1"/>
          <w:numId w:val="14"/>
        </w:numPr>
        <w:rPr>
          <w:rFonts w:ascii="Palatino Linotype" w:hAnsi="Palatino Linotype"/>
        </w:rPr>
      </w:pPr>
      <w:r w:rsidRPr="003E5B51">
        <w:rPr>
          <w:rFonts w:ascii="Palatino Linotype" w:hAnsi="Palatino Linotype"/>
        </w:rPr>
        <w:t xml:space="preserve">Any notice or other written communication to be given or delivered under this Agreement may be despatched in hard copy or in electronic form (including fax and email) and shall in the case of a notice to be given to the Barrister be given to him at his last known Chambers’ address, fax number or email address and shall in the case of a notice to be given to the </w:t>
      </w:r>
      <w:r>
        <w:rPr>
          <w:rFonts w:ascii="Palatino Linotype" w:hAnsi="Palatino Linotype"/>
        </w:rPr>
        <w:t>Authorised Person</w:t>
      </w:r>
      <w:r w:rsidRPr="003E5B51">
        <w:rPr>
          <w:rFonts w:ascii="Palatino Linotype" w:hAnsi="Palatino Linotype"/>
        </w:rPr>
        <w:t xml:space="preserve"> be given to him at his last known place of business, fax number or email address.</w:t>
      </w:r>
      <w:r w:rsidRPr="00AE2D3D">
        <w:rPr>
          <w:rFonts w:ascii="Palatino Linotype" w:hAnsi="Palatino Linotype"/>
        </w:rPr>
        <w:t xml:space="preserve"> </w:t>
      </w:r>
    </w:p>
    <w:p w14:paraId="3D53180E" w14:textId="77777777" w:rsidR="00757EF7" w:rsidRPr="003E5B51" w:rsidRDefault="00757EF7" w:rsidP="00AE2D3D">
      <w:pPr>
        <w:numPr>
          <w:ilvl w:val="1"/>
          <w:numId w:val="14"/>
        </w:numPr>
        <w:rPr>
          <w:rFonts w:ascii="Palatino Linotype" w:hAnsi="Palatino Linotype"/>
        </w:rPr>
      </w:pPr>
      <w:r w:rsidRPr="003E5B51">
        <w:rPr>
          <w:rFonts w:ascii="Palatino Linotype" w:hAnsi="Palatino Linotype"/>
        </w:rPr>
        <w:t>Notices and other written communications under this Agreement shall be deemed to have been received:-</w:t>
      </w:r>
      <w:r w:rsidRPr="00AE2D3D">
        <w:rPr>
          <w:rFonts w:ascii="Palatino Linotype" w:hAnsi="Palatino Linotype"/>
        </w:rPr>
        <w:t xml:space="preserve"> </w:t>
      </w:r>
    </w:p>
    <w:p w14:paraId="37CEB112" w14:textId="77777777" w:rsidR="00757EF7" w:rsidRPr="003E5B51" w:rsidRDefault="00757EF7" w:rsidP="00AE2D3D">
      <w:pPr>
        <w:numPr>
          <w:ilvl w:val="2"/>
          <w:numId w:val="14"/>
        </w:numPr>
        <w:rPr>
          <w:rFonts w:ascii="Palatino Linotype" w:hAnsi="Palatino Linotype"/>
        </w:rPr>
      </w:pPr>
      <w:r w:rsidRPr="003E5B51">
        <w:rPr>
          <w:rFonts w:ascii="Palatino Linotype" w:hAnsi="Palatino Linotype"/>
        </w:rPr>
        <w:t>In the case of hard copy documents despatched by first class post, on the second working day next following the day of posting;</w:t>
      </w:r>
      <w:r w:rsidRPr="00AE2D3D">
        <w:rPr>
          <w:rFonts w:ascii="Palatino Linotype" w:hAnsi="Palatino Linotype"/>
        </w:rPr>
        <w:t xml:space="preserve"> </w:t>
      </w:r>
    </w:p>
    <w:p w14:paraId="0F6BCD2B" w14:textId="77777777" w:rsidR="00757EF7" w:rsidRPr="003E5B51" w:rsidRDefault="00757EF7" w:rsidP="00AE2D3D">
      <w:pPr>
        <w:numPr>
          <w:ilvl w:val="2"/>
          <w:numId w:val="14"/>
        </w:numPr>
        <w:rPr>
          <w:rFonts w:ascii="Palatino Linotype" w:hAnsi="Palatino Linotype"/>
        </w:rPr>
      </w:pPr>
      <w:r w:rsidRPr="00AE2D3D">
        <w:rPr>
          <w:rFonts w:ascii="Palatino Linotype" w:hAnsi="Palatino Linotype"/>
        </w:rPr>
        <w:t xml:space="preserve">In the case of documents despatched by second class post, on the fourth working day next following the day of posting; </w:t>
      </w:r>
    </w:p>
    <w:p w14:paraId="35AAA4FE" w14:textId="77777777" w:rsidR="00757EF7" w:rsidRPr="003E5B51" w:rsidRDefault="00757EF7" w:rsidP="00AE2D3D">
      <w:pPr>
        <w:numPr>
          <w:ilvl w:val="2"/>
          <w:numId w:val="14"/>
        </w:numPr>
        <w:rPr>
          <w:rFonts w:ascii="Palatino Linotype" w:hAnsi="Palatino Linotype"/>
        </w:rPr>
      </w:pPr>
      <w:r w:rsidRPr="00AE2D3D">
        <w:rPr>
          <w:rFonts w:ascii="Palatino Linotype" w:hAnsi="Palatino Linotype"/>
        </w:rPr>
        <w:t xml:space="preserve">In the case of documents in electronic form, on the working day next following the date of despatch. </w:t>
      </w:r>
    </w:p>
    <w:p w14:paraId="6E886ADA" w14:textId="77777777" w:rsidR="00757EF7" w:rsidRPr="003E5B51" w:rsidRDefault="00757EF7" w:rsidP="00AE2D3D"/>
    <w:p w14:paraId="02783173" w14:textId="77777777" w:rsidR="00757EF7" w:rsidRDefault="00757EF7" w:rsidP="00757EF7">
      <w:pPr>
        <w:pStyle w:val="Heading2"/>
        <w:numPr>
          <w:ilvl w:val="0"/>
          <w:numId w:val="14"/>
        </w:numPr>
        <w:jc w:val="left"/>
        <w:rPr>
          <w:rFonts w:ascii="Palatino Linotype" w:hAnsi="Palatino Linotype"/>
        </w:rPr>
      </w:pPr>
      <w:bookmarkStart w:id="28" w:name="_Toc326333207"/>
      <w:r w:rsidRPr="003E5B51">
        <w:rPr>
          <w:rFonts w:ascii="Palatino Linotype" w:hAnsi="Palatino Linotype"/>
        </w:rPr>
        <w:t>GOVERNING LAW</w:t>
      </w:r>
      <w:r>
        <w:rPr>
          <w:rFonts w:ascii="Palatino Linotype" w:hAnsi="Palatino Linotype"/>
        </w:rPr>
        <w:t>,</w:t>
      </w:r>
      <w:r w:rsidRPr="003E5B51">
        <w:rPr>
          <w:rFonts w:ascii="Palatino Linotype" w:hAnsi="Palatino Linotype"/>
        </w:rPr>
        <w:t xml:space="preserve"> JURISDICTION</w:t>
      </w:r>
      <w:bookmarkEnd w:id="28"/>
      <w:r>
        <w:rPr>
          <w:rFonts w:ascii="Palatino Linotype" w:hAnsi="Palatino Linotype"/>
        </w:rPr>
        <w:t xml:space="preserve"> </w:t>
      </w:r>
      <w:smartTag w:uri="urn:schemas-microsoft-com:office:smarttags" w:element="stockticker">
        <w:r>
          <w:rPr>
            <w:rFonts w:ascii="Palatino Linotype" w:hAnsi="Palatino Linotype"/>
          </w:rPr>
          <w:t>AND</w:t>
        </w:r>
      </w:smartTag>
      <w:r>
        <w:rPr>
          <w:rFonts w:ascii="Palatino Linotype" w:hAnsi="Palatino Linotype"/>
        </w:rPr>
        <w:t xml:space="preserve"> DISPUTE RESOLUTION</w:t>
      </w:r>
    </w:p>
    <w:p w14:paraId="580DACD1" w14:textId="77777777" w:rsidR="00757EF7" w:rsidRPr="003E5B51" w:rsidRDefault="00757EF7" w:rsidP="008D75CE">
      <w:pPr>
        <w:numPr>
          <w:ilvl w:val="1"/>
          <w:numId w:val="14"/>
        </w:numPr>
        <w:rPr>
          <w:rFonts w:ascii="Palatino Linotype" w:hAnsi="Palatino Linotype"/>
        </w:rPr>
      </w:pPr>
      <w:r w:rsidRPr="003E5B51">
        <w:rPr>
          <w:rFonts w:ascii="Palatino Linotype" w:hAnsi="Palatino Linotype"/>
        </w:rPr>
        <w:t xml:space="preserve">The Agreement and these Conditions shall be governed by and construed in accordance with the law of </w:t>
      </w:r>
      <w:smartTag w:uri="urn:schemas-microsoft-com:office:smarttags" w:element="country-region">
        <w:r w:rsidRPr="003E5B51">
          <w:rPr>
            <w:rFonts w:ascii="Palatino Linotype" w:hAnsi="Palatino Linotype"/>
          </w:rPr>
          <w:t>England</w:t>
        </w:r>
      </w:smartTag>
      <w:r w:rsidRPr="003E5B51">
        <w:rPr>
          <w:rFonts w:ascii="Palatino Linotype" w:hAnsi="Palatino Linotype"/>
        </w:rPr>
        <w:t xml:space="preserve"> and </w:t>
      </w:r>
      <w:smartTag w:uri="urn:schemas-microsoft-com:office:smarttags" w:element="country-region">
        <w:smartTag w:uri="urn:schemas-microsoft-com:office:smarttags" w:element="place">
          <w:r w:rsidRPr="003E5B51">
            <w:rPr>
              <w:rFonts w:ascii="Palatino Linotype" w:hAnsi="Palatino Linotype"/>
            </w:rPr>
            <w:t>Wales</w:t>
          </w:r>
        </w:smartTag>
      </w:smartTag>
      <w:r w:rsidRPr="003E5B51">
        <w:rPr>
          <w:rFonts w:ascii="Palatino Linotype" w:hAnsi="Palatino Linotype"/>
        </w:rPr>
        <w:t>.</w:t>
      </w:r>
    </w:p>
    <w:p w14:paraId="1FABB5EE" w14:textId="77777777" w:rsidR="00757EF7" w:rsidRPr="003E5B51" w:rsidRDefault="00757EF7" w:rsidP="008D75CE">
      <w:pPr>
        <w:numPr>
          <w:ilvl w:val="1"/>
          <w:numId w:val="14"/>
        </w:numPr>
        <w:rPr>
          <w:rFonts w:ascii="Palatino Linotype" w:hAnsi="Palatino Linotype"/>
        </w:rPr>
      </w:pPr>
      <w:r>
        <w:rPr>
          <w:rFonts w:ascii="Palatino Linotype" w:hAnsi="Palatino Linotype"/>
        </w:rPr>
        <w:lastRenderedPageBreak/>
        <w:t>U</w:t>
      </w:r>
      <w:r w:rsidRPr="003E5B51">
        <w:rPr>
          <w:rFonts w:ascii="Palatino Linotype" w:hAnsi="Palatino Linotype"/>
        </w:rPr>
        <w:t xml:space="preserve">nless any alternative dispute resolution procedure is agreed between the parties, the parties agree to submit to the exclusive jurisdiction of the Courts of England and </w:t>
      </w:r>
      <w:smartTag w:uri="urn:schemas-microsoft-com:office:smarttags" w:element="country-region">
        <w:smartTag w:uri="urn:schemas-microsoft-com:office:smarttags" w:element="place">
          <w:r w:rsidRPr="003E5B51">
            <w:rPr>
              <w:rFonts w:ascii="Palatino Linotype" w:hAnsi="Palatino Linotype"/>
            </w:rPr>
            <w:t>Wales</w:t>
          </w:r>
        </w:smartTag>
      </w:smartTag>
      <w:r w:rsidRPr="003E5B51">
        <w:rPr>
          <w:rFonts w:ascii="Palatino Linotype" w:hAnsi="Palatino Linotype"/>
        </w:rPr>
        <w:t xml:space="preserve"> in respect of any dispute which arises out of or under this Agreement.</w:t>
      </w:r>
      <w:r>
        <w:rPr>
          <w:rStyle w:val="FootnoteReference"/>
          <w:rFonts w:ascii="Palatino Linotype" w:hAnsi="Palatino Linotype"/>
        </w:rPr>
        <w:footnoteReference w:customMarkFollows="1" w:id="1"/>
        <w:t>†</w:t>
      </w:r>
    </w:p>
    <w:p w14:paraId="33ECD530" w14:textId="77777777" w:rsidR="00757EF7" w:rsidRPr="003E5B51" w:rsidRDefault="00757EF7" w:rsidP="00AE2D3D">
      <w:pPr>
        <w:numPr>
          <w:ilvl w:val="1"/>
          <w:numId w:val="14"/>
        </w:numPr>
        <w:rPr>
          <w:rFonts w:ascii="Palatino Linotype" w:hAnsi="Palatino Linotype"/>
        </w:rPr>
      </w:pPr>
      <w:r>
        <w:rPr>
          <w:rFonts w:ascii="Palatino Linotype" w:hAnsi="Palatino Linotype"/>
        </w:rPr>
        <w:t xml:space="preserve">Where the Authorised Person is a Solicitor either </w:t>
      </w:r>
      <w:r w:rsidR="00D40F41">
        <w:rPr>
          <w:rFonts w:ascii="Palatino Linotype" w:hAnsi="Palatino Linotype"/>
        </w:rPr>
        <w:t xml:space="preserve">the Barrister or the Solicitor </w:t>
      </w:r>
      <w:r>
        <w:rPr>
          <w:rFonts w:ascii="Palatino Linotype" w:hAnsi="Palatino Linotype"/>
        </w:rPr>
        <w:t xml:space="preserve">may by notice in writing require the submission of any dispute regarding fees to the </w:t>
      </w:r>
      <w:r w:rsidRPr="003E5B51">
        <w:rPr>
          <w:rFonts w:ascii="Palatino Linotype" w:hAnsi="Palatino Linotype"/>
        </w:rPr>
        <w:t>Voluntary Joint Tribunal on Barristers' Fees</w:t>
      </w:r>
      <w:r w:rsidR="0018538E">
        <w:rPr>
          <w:rFonts w:ascii="Palatino Linotype" w:hAnsi="Palatino Linotype"/>
        </w:rPr>
        <w:t xml:space="preserve"> and the decision of the Tribunal will be final and binding upon the parties</w:t>
      </w:r>
      <w:r>
        <w:rPr>
          <w:rFonts w:ascii="Palatino Linotype" w:hAnsi="Palatino Linotype"/>
        </w:rPr>
        <w:t>.</w:t>
      </w:r>
      <w:r>
        <w:rPr>
          <w:rFonts w:ascii="Palatino Linotype" w:hAnsi="Palatino Linotype"/>
          <w:vertAlign w:val="superscript"/>
        </w:rPr>
        <w:t>†</w:t>
      </w:r>
    </w:p>
    <w:p w14:paraId="1FBB50B5" w14:textId="77777777" w:rsidR="00757EF7" w:rsidRPr="003E5B51" w:rsidRDefault="00757EF7" w:rsidP="008D75CE">
      <w:pPr>
        <w:ind w:left="0" w:firstLine="0"/>
        <w:rPr>
          <w:rFonts w:ascii="Palatino Linotype" w:hAnsi="Palatino Linotype"/>
        </w:rPr>
      </w:pPr>
    </w:p>
    <w:p w14:paraId="7013E10E" w14:textId="77777777" w:rsidR="00757EF7" w:rsidRPr="003E5B51" w:rsidRDefault="00757EF7" w:rsidP="008D75CE">
      <w:pPr>
        <w:rPr>
          <w:rFonts w:ascii="Palatino Linotype" w:hAnsi="Palatino Linotype"/>
        </w:rPr>
      </w:pPr>
    </w:p>
    <w:sectPr w:rsidR="00757EF7" w:rsidRPr="003E5B51" w:rsidSect="0094608B">
      <w:headerReference w:type="first" r:id="rId13"/>
      <w:footerReference w:type="first" r:id="rId14"/>
      <w:pgSz w:w="11906" w:h="16838" w:code="9"/>
      <w:pgMar w:top="851" w:right="102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0C7F" w14:textId="77777777" w:rsidR="003B673B" w:rsidRDefault="003B673B" w:rsidP="008D75CE">
      <w:r>
        <w:separator/>
      </w:r>
    </w:p>
  </w:endnote>
  <w:endnote w:type="continuationSeparator" w:id="0">
    <w:p w14:paraId="32FB1D62" w14:textId="77777777" w:rsidR="003B673B" w:rsidRDefault="003B673B" w:rsidP="008D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D0B8" w14:textId="77777777" w:rsidR="008003DA" w:rsidRDefault="0080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D984" w14:textId="77777777" w:rsidR="008003DA" w:rsidRPr="008F6F68" w:rsidRDefault="008003DA">
    <w:pPr>
      <w:pStyle w:val="Footer"/>
      <w:jc w:val="right"/>
      <w:rPr>
        <w:rFonts w:ascii="Palatino Linotype" w:hAnsi="Palatino Linotype"/>
      </w:rPr>
    </w:pPr>
    <w:r w:rsidRPr="008F6F68">
      <w:rPr>
        <w:rFonts w:ascii="Palatino Linotype" w:hAnsi="Palatino Linotype"/>
      </w:rPr>
      <w:fldChar w:fldCharType="begin"/>
    </w:r>
    <w:r w:rsidRPr="008F6F68">
      <w:rPr>
        <w:rFonts w:ascii="Palatino Linotype" w:hAnsi="Palatino Linotype"/>
      </w:rPr>
      <w:instrText xml:space="preserve"> PAGE   \* MERGEFORMAT </w:instrText>
    </w:r>
    <w:r w:rsidRPr="008F6F68">
      <w:rPr>
        <w:rFonts w:ascii="Palatino Linotype" w:hAnsi="Palatino Linotype"/>
      </w:rPr>
      <w:fldChar w:fldCharType="separate"/>
    </w:r>
    <w:r>
      <w:rPr>
        <w:rFonts w:ascii="Palatino Linotype" w:hAnsi="Palatino Linotype"/>
        <w:noProof/>
      </w:rPr>
      <w:t>6</w:t>
    </w:r>
    <w:r w:rsidRPr="008F6F68">
      <w:rPr>
        <w:rFonts w:ascii="Palatino Linotype" w:hAnsi="Palatino Linotype"/>
      </w:rPr>
      <w:fldChar w:fldCharType="end"/>
    </w:r>
  </w:p>
  <w:p w14:paraId="33468841" w14:textId="77777777" w:rsidR="008003DA" w:rsidRPr="000F53C7" w:rsidRDefault="008003DA" w:rsidP="000F5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2356" w14:textId="77777777" w:rsidR="008003DA" w:rsidRDefault="008003DA">
    <w:pPr>
      <w:pStyle w:val="Footer"/>
      <w:jc w:val="right"/>
    </w:pPr>
  </w:p>
  <w:p w14:paraId="3B836EFD" w14:textId="77777777" w:rsidR="008003DA" w:rsidRDefault="008003DA" w:rsidP="008D75CE">
    <w:pPr>
      <w:pStyle w:val="Footer"/>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930E" w14:textId="77777777" w:rsidR="008003DA" w:rsidRPr="009721D6" w:rsidRDefault="008003DA" w:rsidP="009721D6">
    <w:pPr>
      <w:pStyle w:val="Footer"/>
      <w:jc w:val="right"/>
      <w:rPr>
        <w:rFonts w:ascii="Palatino Linotype" w:hAnsi="Palatino Linotype"/>
      </w:rPr>
    </w:pPr>
    <w:r>
      <w:tab/>
    </w:r>
    <w:r w:rsidRPr="008F6F68">
      <w:rPr>
        <w:rFonts w:ascii="Palatino Linotype" w:hAnsi="Palatino Linotype"/>
      </w:rPr>
      <w:fldChar w:fldCharType="begin"/>
    </w:r>
    <w:r w:rsidRPr="008F6F68">
      <w:rPr>
        <w:rFonts w:ascii="Palatino Linotype" w:hAnsi="Palatino Linotype"/>
      </w:rPr>
      <w:instrText xml:space="preserve"> PAGE   \* MERGEFORMAT </w:instrText>
    </w:r>
    <w:r w:rsidRPr="008F6F68">
      <w:rPr>
        <w:rFonts w:ascii="Palatino Linotype" w:hAnsi="Palatino Linotype"/>
      </w:rPr>
      <w:fldChar w:fldCharType="separate"/>
    </w:r>
    <w:r>
      <w:rPr>
        <w:rFonts w:ascii="Palatino Linotype" w:hAnsi="Palatino Linotype"/>
        <w:noProof/>
      </w:rPr>
      <w:t>1</w:t>
    </w:r>
    <w:r w:rsidRPr="008F6F68">
      <w:rPr>
        <w:rFonts w:ascii="Palatino Linotype" w:hAnsi="Palatino 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628A" w14:textId="77777777" w:rsidR="003B673B" w:rsidRDefault="003B673B" w:rsidP="008D75CE">
      <w:r>
        <w:separator/>
      </w:r>
    </w:p>
  </w:footnote>
  <w:footnote w:type="continuationSeparator" w:id="0">
    <w:p w14:paraId="6D523BE5" w14:textId="77777777" w:rsidR="003B673B" w:rsidRDefault="003B673B" w:rsidP="008D75CE">
      <w:r>
        <w:continuationSeparator/>
      </w:r>
    </w:p>
  </w:footnote>
  <w:footnote w:id="1">
    <w:p w14:paraId="06D0B276" w14:textId="77777777" w:rsidR="008003DA" w:rsidRDefault="008003DA">
      <w:pPr>
        <w:pStyle w:val="FootnoteText"/>
      </w:pPr>
      <w:r>
        <w:rPr>
          <w:rStyle w:val="FootnoteReference"/>
        </w:rPr>
        <w:t>†</w:t>
      </w:r>
      <w:r>
        <w:t xml:space="preserve"> </w:t>
      </w:r>
      <w:r>
        <w:tab/>
      </w:r>
      <w:r w:rsidRPr="009E2ED0">
        <w:t>The parties are reminded that if a judgment or a Voluntary Joint Tribunal’s award is not fully paid within 30 days, the Barrister may request the Chairman of the General Council of the Bar to include the solicitor on the List of Defaulting Solicitors.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F345" w14:textId="77777777" w:rsidR="008003DA" w:rsidRDefault="0080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684B" w14:textId="77777777" w:rsidR="008003DA" w:rsidRDefault="00800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F8F5" w14:textId="77777777" w:rsidR="008003DA" w:rsidRDefault="0080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8672" w14:textId="77777777" w:rsidR="008003DA" w:rsidRDefault="00800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8AD"/>
    <w:multiLevelType w:val="multilevel"/>
    <w:tmpl w:val="9AC862F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 w15:restartNumberingAfterBreak="0">
    <w:nsid w:val="0AE35E58"/>
    <w:multiLevelType w:val="hybridMultilevel"/>
    <w:tmpl w:val="C99618F0"/>
    <w:lvl w:ilvl="0" w:tplc="A8F44BA0">
      <w:start w:val="1"/>
      <w:numFmt w:val="lowerLetter"/>
      <w:lvlText w:val="(%1)"/>
      <w:lvlJc w:val="left"/>
      <w:pPr>
        <w:ind w:left="75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DA0593"/>
    <w:multiLevelType w:val="multilevel"/>
    <w:tmpl w:val="F6FE0F8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3" w15:restartNumberingAfterBreak="0">
    <w:nsid w:val="10F23BBE"/>
    <w:multiLevelType w:val="multilevel"/>
    <w:tmpl w:val="522A8418"/>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4" w15:restartNumberingAfterBreak="0">
    <w:nsid w:val="1150671A"/>
    <w:multiLevelType w:val="multilevel"/>
    <w:tmpl w:val="411C5C98"/>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15:restartNumberingAfterBreak="0">
    <w:nsid w:val="190C1BE1"/>
    <w:multiLevelType w:val="multilevel"/>
    <w:tmpl w:val="F5D8E9BE"/>
    <w:lvl w:ilvl="0">
      <w:start w:val="1"/>
      <w:numFmt w:val="decimal"/>
      <w:lvlText w:val="%1."/>
      <w:lvlJc w:val="left"/>
      <w:pPr>
        <w:ind w:left="567" w:hanging="567"/>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2268" w:hanging="567"/>
      </w:pPr>
      <w:rPr>
        <w:rFonts w:cs="Times New Roman" w:hint="default"/>
      </w:rPr>
    </w:lvl>
    <w:lvl w:ilvl="4">
      <w:start w:val="1"/>
      <w:numFmt w:val="decimal"/>
      <w:lvlText w:val="%1.%2.%3.%4.%5."/>
      <w:lvlJc w:val="left"/>
      <w:pPr>
        <w:ind w:left="2835" w:hanging="567"/>
      </w:pPr>
      <w:rPr>
        <w:rFonts w:cs="Times New Roman" w:hint="default"/>
      </w:rPr>
    </w:lvl>
    <w:lvl w:ilvl="5">
      <w:start w:val="1"/>
      <w:numFmt w:val="decimal"/>
      <w:lvlText w:val="%1.%2.%3.%4.%5.%6."/>
      <w:lvlJc w:val="left"/>
      <w:pPr>
        <w:ind w:left="3402" w:hanging="567"/>
      </w:pPr>
      <w:rPr>
        <w:rFonts w:cs="Times New Roman" w:hint="default"/>
      </w:rPr>
    </w:lvl>
    <w:lvl w:ilvl="6">
      <w:start w:val="1"/>
      <w:numFmt w:val="decimal"/>
      <w:lvlText w:val="%1.%2.%3.%4.%5.%6.%7."/>
      <w:lvlJc w:val="left"/>
      <w:pPr>
        <w:ind w:left="3969" w:hanging="567"/>
      </w:pPr>
      <w:rPr>
        <w:rFonts w:cs="Times New Roman" w:hint="default"/>
      </w:rPr>
    </w:lvl>
    <w:lvl w:ilvl="7">
      <w:start w:val="1"/>
      <w:numFmt w:val="decimal"/>
      <w:lvlText w:val="%1.%2.%3.%4.%5.%6.%7.%8."/>
      <w:lvlJc w:val="left"/>
      <w:pPr>
        <w:ind w:left="4536" w:hanging="567"/>
      </w:pPr>
      <w:rPr>
        <w:rFonts w:cs="Times New Roman" w:hint="default"/>
      </w:rPr>
    </w:lvl>
    <w:lvl w:ilvl="8">
      <w:start w:val="1"/>
      <w:numFmt w:val="decimal"/>
      <w:lvlText w:val="%1.%2.%3.%4.%5.%6.%7.%8.%9."/>
      <w:lvlJc w:val="left"/>
      <w:pPr>
        <w:ind w:left="5103" w:hanging="567"/>
      </w:pPr>
      <w:rPr>
        <w:rFonts w:cs="Times New Roman" w:hint="default"/>
      </w:rPr>
    </w:lvl>
  </w:abstractNum>
  <w:abstractNum w:abstractNumId="6" w15:restartNumberingAfterBreak="0">
    <w:nsid w:val="1C9D5CAC"/>
    <w:multiLevelType w:val="multilevel"/>
    <w:tmpl w:val="A6544F76"/>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7" w15:restartNumberingAfterBreak="0">
    <w:nsid w:val="1CC2760D"/>
    <w:multiLevelType w:val="hybridMultilevel"/>
    <w:tmpl w:val="E8F6B198"/>
    <w:lvl w:ilvl="0" w:tplc="026077AE">
      <w:start w:val="1"/>
      <w:numFmt w:val="lowerRoman"/>
      <w:lvlText w:val="(%1)"/>
      <w:lvlJc w:val="left"/>
      <w:pPr>
        <w:ind w:left="2291" w:hanging="720"/>
      </w:pPr>
      <w:rPr>
        <w:rFonts w:cs="Times New Roman" w:hint="default"/>
      </w:rPr>
    </w:lvl>
    <w:lvl w:ilvl="1" w:tplc="08090019" w:tentative="1">
      <w:start w:val="1"/>
      <w:numFmt w:val="lowerLetter"/>
      <w:lvlText w:val="%2."/>
      <w:lvlJc w:val="left"/>
      <w:pPr>
        <w:ind w:left="2651" w:hanging="360"/>
      </w:pPr>
      <w:rPr>
        <w:rFonts w:cs="Times New Roman"/>
      </w:rPr>
    </w:lvl>
    <w:lvl w:ilvl="2" w:tplc="0809001B" w:tentative="1">
      <w:start w:val="1"/>
      <w:numFmt w:val="lowerRoman"/>
      <w:lvlText w:val="%3."/>
      <w:lvlJc w:val="right"/>
      <w:pPr>
        <w:ind w:left="3371" w:hanging="180"/>
      </w:pPr>
      <w:rPr>
        <w:rFonts w:cs="Times New Roman"/>
      </w:rPr>
    </w:lvl>
    <w:lvl w:ilvl="3" w:tplc="0809000F" w:tentative="1">
      <w:start w:val="1"/>
      <w:numFmt w:val="decimal"/>
      <w:lvlText w:val="%4."/>
      <w:lvlJc w:val="left"/>
      <w:pPr>
        <w:ind w:left="4091" w:hanging="360"/>
      </w:pPr>
      <w:rPr>
        <w:rFonts w:cs="Times New Roman"/>
      </w:rPr>
    </w:lvl>
    <w:lvl w:ilvl="4" w:tplc="08090019" w:tentative="1">
      <w:start w:val="1"/>
      <w:numFmt w:val="lowerLetter"/>
      <w:lvlText w:val="%5."/>
      <w:lvlJc w:val="left"/>
      <w:pPr>
        <w:ind w:left="4811" w:hanging="360"/>
      </w:pPr>
      <w:rPr>
        <w:rFonts w:cs="Times New Roman"/>
      </w:rPr>
    </w:lvl>
    <w:lvl w:ilvl="5" w:tplc="0809001B" w:tentative="1">
      <w:start w:val="1"/>
      <w:numFmt w:val="lowerRoman"/>
      <w:lvlText w:val="%6."/>
      <w:lvlJc w:val="right"/>
      <w:pPr>
        <w:ind w:left="5531" w:hanging="180"/>
      </w:pPr>
      <w:rPr>
        <w:rFonts w:cs="Times New Roman"/>
      </w:rPr>
    </w:lvl>
    <w:lvl w:ilvl="6" w:tplc="0809000F" w:tentative="1">
      <w:start w:val="1"/>
      <w:numFmt w:val="decimal"/>
      <w:lvlText w:val="%7."/>
      <w:lvlJc w:val="left"/>
      <w:pPr>
        <w:ind w:left="6251" w:hanging="360"/>
      </w:pPr>
      <w:rPr>
        <w:rFonts w:cs="Times New Roman"/>
      </w:rPr>
    </w:lvl>
    <w:lvl w:ilvl="7" w:tplc="08090019" w:tentative="1">
      <w:start w:val="1"/>
      <w:numFmt w:val="lowerLetter"/>
      <w:lvlText w:val="%8."/>
      <w:lvlJc w:val="left"/>
      <w:pPr>
        <w:ind w:left="6971" w:hanging="360"/>
      </w:pPr>
      <w:rPr>
        <w:rFonts w:cs="Times New Roman"/>
      </w:rPr>
    </w:lvl>
    <w:lvl w:ilvl="8" w:tplc="0809001B" w:tentative="1">
      <w:start w:val="1"/>
      <w:numFmt w:val="lowerRoman"/>
      <w:lvlText w:val="%9."/>
      <w:lvlJc w:val="right"/>
      <w:pPr>
        <w:ind w:left="7691" w:hanging="180"/>
      </w:pPr>
      <w:rPr>
        <w:rFonts w:cs="Times New Roman"/>
      </w:rPr>
    </w:lvl>
  </w:abstractNum>
  <w:abstractNum w:abstractNumId="8" w15:restartNumberingAfterBreak="0">
    <w:nsid w:val="28114617"/>
    <w:multiLevelType w:val="multilevel"/>
    <w:tmpl w:val="62BAFE20"/>
    <w:lvl w:ilvl="0">
      <w:start w:val="1"/>
      <w:numFmt w:val="decimal"/>
      <w:lvlText w:val="%1."/>
      <w:lvlJc w:val="left"/>
      <w:pPr>
        <w:ind w:left="567" w:hanging="567"/>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2268" w:hanging="567"/>
      </w:pPr>
      <w:rPr>
        <w:rFonts w:cs="Times New Roman" w:hint="default"/>
      </w:rPr>
    </w:lvl>
    <w:lvl w:ilvl="4">
      <w:start w:val="1"/>
      <w:numFmt w:val="decimal"/>
      <w:lvlText w:val="%1.%2.%3.%4.%5."/>
      <w:lvlJc w:val="left"/>
      <w:pPr>
        <w:ind w:left="2835" w:hanging="567"/>
      </w:pPr>
      <w:rPr>
        <w:rFonts w:cs="Times New Roman" w:hint="default"/>
      </w:rPr>
    </w:lvl>
    <w:lvl w:ilvl="5">
      <w:start w:val="1"/>
      <w:numFmt w:val="decimal"/>
      <w:lvlText w:val="%1.%2.%3.%4.%5.%6."/>
      <w:lvlJc w:val="left"/>
      <w:pPr>
        <w:ind w:left="3402" w:hanging="567"/>
      </w:pPr>
      <w:rPr>
        <w:rFonts w:cs="Times New Roman" w:hint="default"/>
      </w:rPr>
    </w:lvl>
    <w:lvl w:ilvl="6">
      <w:start w:val="1"/>
      <w:numFmt w:val="decimal"/>
      <w:lvlText w:val="%1.%2.%3.%4.%5.%6.%7."/>
      <w:lvlJc w:val="left"/>
      <w:pPr>
        <w:ind w:left="3969" w:hanging="567"/>
      </w:pPr>
      <w:rPr>
        <w:rFonts w:cs="Times New Roman" w:hint="default"/>
      </w:rPr>
    </w:lvl>
    <w:lvl w:ilvl="7">
      <w:start w:val="1"/>
      <w:numFmt w:val="decimal"/>
      <w:lvlText w:val="%1.%2.%3.%4.%5.%6.%7.%8."/>
      <w:lvlJc w:val="left"/>
      <w:pPr>
        <w:ind w:left="4536" w:hanging="567"/>
      </w:pPr>
      <w:rPr>
        <w:rFonts w:cs="Times New Roman" w:hint="default"/>
      </w:rPr>
    </w:lvl>
    <w:lvl w:ilvl="8">
      <w:start w:val="1"/>
      <w:numFmt w:val="decimal"/>
      <w:lvlText w:val="%1.%2.%3.%4.%5.%6.%7.%8.%9."/>
      <w:lvlJc w:val="left"/>
      <w:pPr>
        <w:ind w:left="5103" w:hanging="567"/>
      </w:pPr>
      <w:rPr>
        <w:rFonts w:cs="Times New Roman" w:hint="default"/>
      </w:rPr>
    </w:lvl>
  </w:abstractNum>
  <w:abstractNum w:abstractNumId="9" w15:restartNumberingAfterBreak="0">
    <w:nsid w:val="43624E8E"/>
    <w:multiLevelType w:val="multilevel"/>
    <w:tmpl w:val="C608AA90"/>
    <w:lvl w:ilvl="0">
      <w:start w:val="1"/>
      <w:numFmt w:val="decimal"/>
      <w:lvlText w:val="%1."/>
      <w:lvlJc w:val="left"/>
      <w:pPr>
        <w:ind w:left="567" w:hanging="567"/>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0" w15:restartNumberingAfterBreak="0">
    <w:nsid w:val="4A6A0420"/>
    <w:multiLevelType w:val="multilevel"/>
    <w:tmpl w:val="DEE8F784"/>
    <w:lvl w:ilvl="0">
      <w:start w:val="1"/>
      <w:numFmt w:val="decimal"/>
      <w:lvlText w:val="%1"/>
      <w:lvlJc w:val="left"/>
      <w:pPr>
        <w:ind w:left="855" w:hanging="855"/>
      </w:pPr>
      <w:rPr>
        <w:rFonts w:cs="Times New Roman" w:hint="default"/>
      </w:rPr>
    </w:lvl>
    <w:lvl w:ilvl="1">
      <w:start w:val="1"/>
      <w:numFmt w:val="decimal"/>
      <w:lvlText w:val="%1.%2"/>
      <w:lvlJc w:val="left"/>
      <w:pPr>
        <w:ind w:left="855" w:hanging="855"/>
      </w:pPr>
      <w:rPr>
        <w:rFonts w:cs="Times New Roman" w:hint="default"/>
      </w:rPr>
    </w:lvl>
    <w:lvl w:ilvl="2">
      <w:start w:val="1"/>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4F605A97"/>
    <w:multiLevelType w:val="multilevel"/>
    <w:tmpl w:val="F83A6CF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2" w15:restartNumberingAfterBreak="0">
    <w:nsid w:val="5607122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BED57D9"/>
    <w:multiLevelType w:val="multilevel"/>
    <w:tmpl w:val="C608AA90"/>
    <w:lvl w:ilvl="0">
      <w:start w:val="1"/>
      <w:numFmt w:val="decimal"/>
      <w:lvlText w:val="%1."/>
      <w:lvlJc w:val="left"/>
      <w:pPr>
        <w:ind w:left="567" w:hanging="567"/>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4" w15:restartNumberingAfterBreak="0">
    <w:nsid w:val="5ECD2D8C"/>
    <w:multiLevelType w:val="multilevel"/>
    <w:tmpl w:val="411C5C98"/>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5" w15:restartNumberingAfterBreak="0">
    <w:nsid w:val="65511D7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1993C6C"/>
    <w:multiLevelType w:val="multilevel"/>
    <w:tmpl w:val="296EB092"/>
    <w:lvl w:ilvl="0">
      <w:start w:val="1"/>
      <w:numFmt w:val="decimal"/>
      <w:lvlText w:val="%1."/>
      <w:lvlJc w:val="left"/>
      <w:rPr>
        <w:rFonts w:cs="Times New Roman" w:hint="default"/>
      </w:rPr>
    </w:lvl>
    <w:lvl w:ilvl="1">
      <w:start w:val="1"/>
      <w:numFmt w:val="decimal"/>
      <w:lvlText w:val="%1.%2"/>
      <w:lvlJc w:val="left"/>
      <w:pPr>
        <w:ind w:left="567"/>
      </w:pPr>
      <w:rPr>
        <w:rFonts w:cs="Times New Roman" w:hint="default"/>
      </w:rPr>
    </w:lvl>
    <w:lvl w:ilvl="2">
      <w:start w:val="1"/>
      <w:numFmt w:val="decimal"/>
      <w:lvlText w:val="%1.%2.%3"/>
      <w:lvlJc w:val="left"/>
      <w:pPr>
        <w:ind w:left="1134"/>
      </w:pPr>
      <w:rPr>
        <w:rFonts w:cs="Times New Roman" w:hint="default"/>
      </w:rPr>
    </w:lvl>
    <w:lvl w:ilvl="3">
      <w:start w:val="1"/>
      <w:numFmt w:val="decimal"/>
      <w:lvlText w:val="%1.%2.%3.%4"/>
      <w:lvlJc w:val="left"/>
      <w:pPr>
        <w:ind w:left="1701"/>
      </w:pPr>
      <w:rPr>
        <w:rFonts w:cs="Times New Roman" w:hint="default"/>
      </w:rPr>
    </w:lvl>
    <w:lvl w:ilvl="4">
      <w:start w:val="1"/>
      <w:numFmt w:val="decimal"/>
      <w:lvlText w:val="%1.%2.%3.%4.%5."/>
      <w:lvlJc w:val="left"/>
      <w:pPr>
        <w:ind w:left="2268"/>
      </w:pPr>
      <w:rPr>
        <w:rFonts w:cs="Times New Roman" w:hint="default"/>
      </w:rPr>
    </w:lvl>
    <w:lvl w:ilvl="5">
      <w:start w:val="1"/>
      <w:numFmt w:val="decimal"/>
      <w:lvlText w:val="%1.%2.%3.%4.%5.%6."/>
      <w:lvlJc w:val="left"/>
      <w:pPr>
        <w:ind w:left="2835"/>
      </w:pPr>
      <w:rPr>
        <w:rFonts w:cs="Times New Roman" w:hint="default"/>
      </w:rPr>
    </w:lvl>
    <w:lvl w:ilvl="6">
      <w:start w:val="1"/>
      <w:numFmt w:val="decimal"/>
      <w:lvlText w:val="%1.%2.%3.%4.%5.%6.%7."/>
      <w:lvlJc w:val="left"/>
      <w:pPr>
        <w:ind w:left="3402"/>
      </w:pPr>
      <w:rPr>
        <w:rFonts w:cs="Times New Roman" w:hint="default"/>
      </w:rPr>
    </w:lvl>
    <w:lvl w:ilvl="7">
      <w:start w:val="1"/>
      <w:numFmt w:val="decimal"/>
      <w:lvlText w:val="%1.%2.%3.%4.%5.%6.%7.%8."/>
      <w:lvlJc w:val="left"/>
      <w:pPr>
        <w:ind w:left="3969"/>
      </w:pPr>
      <w:rPr>
        <w:rFonts w:cs="Times New Roman" w:hint="default"/>
      </w:rPr>
    </w:lvl>
    <w:lvl w:ilvl="8">
      <w:start w:val="1"/>
      <w:numFmt w:val="decimal"/>
      <w:lvlText w:val="%1.%2.%3.%4.%5.%6.%7.%8.%9."/>
      <w:lvlJc w:val="left"/>
      <w:pPr>
        <w:ind w:left="4536"/>
      </w:pPr>
      <w:rPr>
        <w:rFonts w:cs="Times New Roman" w:hint="default"/>
      </w:rPr>
    </w:lvl>
  </w:abstractNum>
  <w:abstractNum w:abstractNumId="17" w15:restartNumberingAfterBreak="0">
    <w:nsid w:val="74B1049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6475639"/>
    <w:multiLevelType w:val="multilevel"/>
    <w:tmpl w:val="342E1454"/>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num w:numId="1">
    <w:abstractNumId w:val="3"/>
  </w:num>
  <w:num w:numId="2">
    <w:abstractNumId w:val="18"/>
  </w:num>
  <w:num w:numId="3">
    <w:abstractNumId w:val="5"/>
  </w:num>
  <w:num w:numId="4">
    <w:abstractNumId w:val="15"/>
  </w:num>
  <w:num w:numId="5">
    <w:abstractNumId w:val="6"/>
  </w:num>
  <w:num w:numId="6">
    <w:abstractNumId w:val="17"/>
  </w:num>
  <w:num w:numId="7">
    <w:abstractNumId w:val="4"/>
  </w:num>
  <w:num w:numId="8">
    <w:abstractNumId w:val="12"/>
  </w:num>
  <w:num w:numId="9">
    <w:abstractNumId w:val="8"/>
  </w:num>
  <w:num w:numId="10">
    <w:abstractNumId w:val="16"/>
  </w:num>
  <w:num w:numId="11">
    <w:abstractNumId w:val="11"/>
  </w:num>
  <w:num w:numId="12">
    <w:abstractNumId w:val="10"/>
  </w:num>
  <w:num w:numId="13">
    <w:abstractNumId w:val="1"/>
  </w:num>
  <w:num w:numId="14">
    <w:abstractNumId w:val="0"/>
  </w:num>
  <w:num w:numId="15">
    <w:abstractNumId w:val="14"/>
  </w:num>
  <w:num w:numId="16">
    <w:abstractNumId w:val="9"/>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oNotTrackMoves/>
  <w:defaultTabStop w:val="851"/>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193"/>
    <w:rsid w:val="000001F5"/>
    <w:rsid w:val="000041E1"/>
    <w:rsid w:val="00004C95"/>
    <w:rsid w:val="00012D07"/>
    <w:rsid w:val="00017ED7"/>
    <w:rsid w:val="00024801"/>
    <w:rsid w:val="00025042"/>
    <w:rsid w:val="00027906"/>
    <w:rsid w:val="00027B2E"/>
    <w:rsid w:val="00034B56"/>
    <w:rsid w:val="00051B32"/>
    <w:rsid w:val="000526AD"/>
    <w:rsid w:val="0005450E"/>
    <w:rsid w:val="0005647A"/>
    <w:rsid w:val="00071904"/>
    <w:rsid w:val="00084C70"/>
    <w:rsid w:val="000A2DC9"/>
    <w:rsid w:val="000B01B1"/>
    <w:rsid w:val="000B14A1"/>
    <w:rsid w:val="000B783D"/>
    <w:rsid w:val="000B7FB5"/>
    <w:rsid w:val="000C7F7D"/>
    <w:rsid w:val="000D248C"/>
    <w:rsid w:val="000D5BDB"/>
    <w:rsid w:val="000D5CE4"/>
    <w:rsid w:val="000E752D"/>
    <w:rsid w:val="000F1BBC"/>
    <w:rsid w:val="000F208D"/>
    <w:rsid w:val="000F39B3"/>
    <w:rsid w:val="000F4A7A"/>
    <w:rsid w:val="000F4E1F"/>
    <w:rsid w:val="000F53C7"/>
    <w:rsid w:val="00106D69"/>
    <w:rsid w:val="001110A0"/>
    <w:rsid w:val="00113A86"/>
    <w:rsid w:val="001175BE"/>
    <w:rsid w:val="00123C9E"/>
    <w:rsid w:val="00131D9D"/>
    <w:rsid w:val="0013376D"/>
    <w:rsid w:val="00137FE9"/>
    <w:rsid w:val="00145ADB"/>
    <w:rsid w:val="0016047A"/>
    <w:rsid w:val="0016121D"/>
    <w:rsid w:val="0016125E"/>
    <w:rsid w:val="001706EC"/>
    <w:rsid w:val="00176ADF"/>
    <w:rsid w:val="0018189D"/>
    <w:rsid w:val="0018538E"/>
    <w:rsid w:val="00185D8C"/>
    <w:rsid w:val="001923FB"/>
    <w:rsid w:val="00194014"/>
    <w:rsid w:val="001B25A4"/>
    <w:rsid w:val="001B5CB2"/>
    <w:rsid w:val="001C192A"/>
    <w:rsid w:val="001C5980"/>
    <w:rsid w:val="001C6BAE"/>
    <w:rsid w:val="001E0669"/>
    <w:rsid w:val="001E551F"/>
    <w:rsid w:val="001E6422"/>
    <w:rsid w:val="001E76EA"/>
    <w:rsid w:val="001F178F"/>
    <w:rsid w:val="001F36D7"/>
    <w:rsid w:val="001F515F"/>
    <w:rsid w:val="00202D1E"/>
    <w:rsid w:val="002042B8"/>
    <w:rsid w:val="00204B62"/>
    <w:rsid w:val="00213F51"/>
    <w:rsid w:val="0021628D"/>
    <w:rsid w:val="00222AAC"/>
    <w:rsid w:val="00226512"/>
    <w:rsid w:val="00235F73"/>
    <w:rsid w:val="00237CC5"/>
    <w:rsid w:val="00254346"/>
    <w:rsid w:val="002650BC"/>
    <w:rsid w:val="002747F1"/>
    <w:rsid w:val="00277FCC"/>
    <w:rsid w:val="002973BB"/>
    <w:rsid w:val="00297B08"/>
    <w:rsid w:val="002B0CF3"/>
    <w:rsid w:val="002D544F"/>
    <w:rsid w:val="002E08EC"/>
    <w:rsid w:val="002E79BE"/>
    <w:rsid w:val="0030133A"/>
    <w:rsid w:val="0030513A"/>
    <w:rsid w:val="003145B3"/>
    <w:rsid w:val="0031552A"/>
    <w:rsid w:val="00322C8F"/>
    <w:rsid w:val="00325E92"/>
    <w:rsid w:val="00327FE5"/>
    <w:rsid w:val="00333FF3"/>
    <w:rsid w:val="003466D1"/>
    <w:rsid w:val="00351316"/>
    <w:rsid w:val="0035217F"/>
    <w:rsid w:val="00355BF4"/>
    <w:rsid w:val="003615C9"/>
    <w:rsid w:val="00366A48"/>
    <w:rsid w:val="003757BA"/>
    <w:rsid w:val="0038018F"/>
    <w:rsid w:val="00382BE4"/>
    <w:rsid w:val="0039167F"/>
    <w:rsid w:val="003923CA"/>
    <w:rsid w:val="00395D1F"/>
    <w:rsid w:val="003A0870"/>
    <w:rsid w:val="003B505D"/>
    <w:rsid w:val="003B673B"/>
    <w:rsid w:val="003D1E72"/>
    <w:rsid w:val="003D5E35"/>
    <w:rsid w:val="003E3D87"/>
    <w:rsid w:val="003E5B51"/>
    <w:rsid w:val="003F0233"/>
    <w:rsid w:val="003F2AD4"/>
    <w:rsid w:val="003F5C27"/>
    <w:rsid w:val="00400E17"/>
    <w:rsid w:val="00405223"/>
    <w:rsid w:val="004101B2"/>
    <w:rsid w:val="0041043B"/>
    <w:rsid w:val="00417A08"/>
    <w:rsid w:val="0042520D"/>
    <w:rsid w:val="004301D5"/>
    <w:rsid w:val="004328BE"/>
    <w:rsid w:val="00444249"/>
    <w:rsid w:val="00447051"/>
    <w:rsid w:val="00455378"/>
    <w:rsid w:val="00456093"/>
    <w:rsid w:val="004602A6"/>
    <w:rsid w:val="004618F5"/>
    <w:rsid w:val="00464B4A"/>
    <w:rsid w:val="00464CA4"/>
    <w:rsid w:val="00475421"/>
    <w:rsid w:val="004759E8"/>
    <w:rsid w:val="00480B21"/>
    <w:rsid w:val="0048104E"/>
    <w:rsid w:val="00483197"/>
    <w:rsid w:val="004833A6"/>
    <w:rsid w:val="004836B6"/>
    <w:rsid w:val="00485251"/>
    <w:rsid w:val="00485F08"/>
    <w:rsid w:val="004936D3"/>
    <w:rsid w:val="004A2567"/>
    <w:rsid w:val="004A2903"/>
    <w:rsid w:val="004A2A79"/>
    <w:rsid w:val="004A2FC5"/>
    <w:rsid w:val="004C1D4F"/>
    <w:rsid w:val="004D2810"/>
    <w:rsid w:val="004D2D6C"/>
    <w:rsid w:val="004F3FB5"/>
    <w:rsid w:val="004F4555"/>
    <w:rsid w:val="004F5193"/>
    <w:rsid w:val="005019B9"/>
    <w:rsid w:val="00503229"/>
    <w:rsid w:val="0051415C"/>
    <w:rsid w:val="005147DE"/>
    <w:rsid w:val="0052247F"/>
    <w:rsid w:val="00530B80"/>
    <w:rsid w:val="00542BC7"/>
    <w:rsid w:val="005469D3"/>
    <w:rsid w:val="00547B9A"/>
    <w:rsid w:val="005505F8"/>
    <w:rsid w:val="005662E3"/>
    <w:rsid w:val="0056675D"/>
    <w:rsid w:val="00571941"/>
    <w:rsid w:val="00576510"/>
    <w:rsid w:val="00580546"/>
    <w:rsid w:val="0058057E"/>
    <w:rsid w:val="005807E0"/>
    <w:rsid w:val="00580DFF"/>
    <w:rsid w:val="00584039"/>
    <w:rsid w:val="00590A9F"/>
    <w:rsid w:val="00591F14"/>
    <w:rsid w:val="005939E2"/>
    <w:rsid w:val="0059485A"/>
    <w:rsid w:val="00597703"/>
    <w:rsid w:val="005A04A2"/>
    <w:rsid w:val="005A091D"/>
    <w:rsid w:val="005A387F"/>
    <w:rsid w:val="005A38DC"/>
    <w:rsid w:val="005A645A"/>
    <w:rsid w:val="005B1D66"/>
    <w:rsid w:val="005B3709"/>
    <w:rsid w:val="005C3DED"/>
    <w:rsid w:val="005C4974"/>
    <w:rsid w:val="005C7229"/>
    <w:rsid w:val="005D50A7"/>
    <w:rsid w:val="005D7256"/>
    <w:rsid w:val="005E12A6"/>
    <w:rsid w:val="005E1DEE"/>
    <w:rsid w:val="005E406E"/>
    <w:rsid w:val="005F2FCA"/>
    <w:rsid w:val="005F44A5"/>
    <w:rsid w:val="005F4AE2"/>
    <w:rsid w:val="005F7653"/>
    <w:rsid w:val="00602F8E"/>
    <w:rsid w:val="006033E8"/>
    <w:rsid w:val="006043DF"/>
    <w:rsid w:val="0061237E"/>
    <w:rsid w:val="00613F70"/>
    <w:rsid w:val="00616039"/>
    <w:rsid w:val="0062225D"/>
    <w:rsid w:val="00625D99"/>
    <w:rsid w:val="0064365C"/>
    <w:rsid w:val="00647B62"/>
    <w:rsid w:val="00650582"/>
    <w:rsid w:val="00665A03"/>
    <w:rsid w:val="00666C02"/>
    <w:rsid w:val="00671364"/>
    <w:rsid w:val="006728E3"/>
    <w:rsid w:val="0067381E"/>
    <w:rsid w:val="00680A31"/>
    <w:rsid w:val="00682E05"/>
    <w:rsid w:val="0068365F"/>
    <w:rsid w:val="0068527E"/>
    <w:rsid w:val="0068684B"/>
    <w:rsid w:val="00687113"/>
    <w:rsid w:val="006A783B"/>
    <w:rsid w:val="006B621F"/>
    <w:rsid w:val="006C5503"/>
    <w:rsid w:val="006D13CC"/>
    <w:rsid w:val="006D5553"/>
    <w:rsid w:val="006D6DC6"/>
    <w:rsid w:val="006E0541"/>
    <w:rsid w:val="006E47F9"/>
    <w:rsid w:val="006E52E6"/>
    <w:rsid w:val="006E74CF"/>
    <w:rsid w:val="006F08AC"/>
    <w:rsid w:val="006F2216"/>
    <w:rsid w:val="006F77B7"/>
    <w:rsid w:val="00700525"/>
    <w:rsid w:val="007149CB"/>
    <w:rsid w:val="007227EA"/>
    <w:rsid w:val="00722EC4"/>
    <w:rsid w:val="007243EC"/>
    <w:rsid w:val="007244B5"/>
    <w:rsid w:val="00726BA8"/>
    <w:rsid w:val="007333D1"/>
    <w:rsid w:val="00734F3D"/>
    <w:rsid w:val="007369BD"/>
    <w:rsid w:val="007426D2"/>
    <w:rsid w:val="00744094"/>
    <w:rsid w:val="007446A7"/>
    <w:rsid w:val="00744C02"/>
    <w:rsid w:val="00745387"/>
    <w:rsid w:val="00753BFF"/>
    <w:rsid w:val="00757EF7"/>
    <w:rsid w:val="00770A93"/>
    <w:rsid w:val="007729BC"/>
    <w:rsid w:val="00775425"/>
    <w:rsid w:val="00785F59"/>
    <w:rsid w:val="00787A66"/>
    <w:rsid w:val="00793E81"/>
    <w:rsid w:val="0079732A"/>
    <w:rsid w:val="007A4219"/>
    <w:rsid w:val="007A4B50"/>
    <w:rsid w:val="007B11C6"/>
    <w:rsid w:val="007B5167"/>
    <w:rsid w:val="007B61F7"/>
    <w:rsid w:val="007B61FA"/>
    <w:rsid w:val="007B736C"/>
    <w:rsid w:val="007B758E"/>
    <w:rsid w:val="007D5C27"/>
    <w:rsid w:val="007E2FBC"/>
    <w:rsid w:val="007F480F"/>
    <w:rsid w:val="008003DA"/>
    <w:rsid w:val="00817663"/>
    <w:rsid w:val="00830ACA"/>
    <w:rsid w:val="00835554"/>
    <w:rsid w:val="008364D4"/>
    <w:rsid w:val="00860F33"/>
    <w:rsid w:val="00864C2F"/>
    <w:rsid w:val="008678F2"/>
    <w:rsid w:val="0087066F"/>
    <w:rsid w:val="00873F0F"/>
    <w:rsid w:val="008759F3"/>
    <w:rsid w:val="008760CE"/>
    <w:rsid w:val="008775CB"/>
    <w:rsid w:val="008A4C46"/>
    <w:rsid w:val="008A742D"/>
    <w:rsid w:val="008B7906"/>
    <w:rsid w:val="008C4F74"/>
    <w:rsid w:val="008D5C5C"/>
    <w:rsid w:val="008D75CE"/>
    <w:rsid w:val="008D7901"/>
    <w:rsid w:val="008D7ADD"/>
    <w:rsid w:val="008E1054"/>
    <w:rsid w:val="008E2ED3"/>
    <w:rsid w:val="008F002C"/>
    <w:rsid w:val="008F464E"/>
    <w:rsid w:val="008F6456"/>
    <w:rsid w:val="008F6F68"/>
    <w:rsid w:val="0090068A"/>
    <w:rsid w:val="009056CB"/>
    <w:rsid w:val="00905887"/>
    <w:rsid w:val="00907BC0"/>
    <w:rsid w:val="009152C3"/>
    <w:rsid w:val="00917F16"/>
    <w:rsid w:val="0092383A"/>
    <w:rsid w:val="00925F52"/>
    <w:rsid w:val="00931E76"/>
    <w:rsid w:val="009342CE"/>
    <w:rsid w:val="00940307"/>
    <w:rsid w:val="00942448"/>
    <w:rsid w:val="0094285B"/>
    <w:rsid w:val="009435A9"/>
    <w:rsid w:val="0094608B"/>
    <w:rsid w:val="009467A8"/>
    <w:rsid w:val="00946D22"/>
    <w:rsid w:val="00946F05"/>
    <w:rsid w:val="009526D2"/>
    <w:rsid w:val="00952F6F"/>
    <w:rsid w:val="00953B54"/>
    <w:rsid w:val="00960F59"/>
    <w:rsid w:val="009718DA"/>
    <w:rsid w:val="00971964"/>
    <w:rsid w:val="009721D6"/>
    <w:rsid w:val="00972B5A"/>
    <w:rsid w:val="00995349"/>
    <w:rsid w:val="0099771B"/>
    <w:rsid w:val="009A2B48"/>
    <w:rsid w:val="009A72AA"/>
    <w:rsid w:val="009B3221"/>
    <w:rsid w:val="009B4FE8"/>
    <w:rsid w:val="009B5F28"/>
    <w:rsid w:val="009B692F"/>
    <w:rsid w:val="009B7439"/>
    <w:rsid w:val="009C10EA"/>
    <w:rsid w:val="009C2CE8"/>
    <w:rsid w:val="009C2EB4"/>
    <w:rsid w:val="009D7A8F"/>
    <w:rsid w:val="009E2ED0"/>
    <w:rsid w:val="009F248F"/>
    <w:rsid w:val="009F355F"/>
    <w:rsid w:val="00A10B62"/>
    <w:rsid w:val="00A216BD"/>
    <w:rsid w:val="00A21E18"/>
    <w:rsid w:val="00A31E36"/>
    <w:rsid w:val="00A34C73"/>
    <w:rsid w:val="00A34E0B"/>
    <w:rsid w:val="00A36C6A"/>
    <w:rsid w:val="00A42158"/>
    <w:rsid w:val="00A45B65"/>
    <w:rsid w:val="00A6216E"/>
    <w:rsid w:val="00A64B0D"/>
    <w:rsid w:val="00A7648A"/>
    <w:rsid w:val="00A77623"/>
    <w:rsid w:val="00A820C9"/>
    <w:rsid w:val="00A87204"/>
    <w:rsid w:val="00AA0AD5"/>
    <w:rsid w:val="00AA431B"/>
    <w:rsid w:val="00AB2470"/>
    <w:rsid w:val="00AB37C3"/>
    <w:rsid w:val="00AB4C00"/>
    <w:rsid w:val="00AB6191"/>
    <w:rsid w:val="00AC193F"/>
    <w:rsid w:val="00AC3B50"/>
    <w:rsid w:val="00AD0F6B"/>
    <w:rsid w:val="00AD1A97"/>
    <w:rsid w:val="00AD36A2"/>
    <w:rsid w:val="00AD42D6"/>
    <w:rsid w:val="00AE2D3D"/>
    <w:rsid w:val="00AE3058"/>
    <w:rsid w:val="00AE6AE0"/>
    <w:rsid w:val="00AF14E7"/>
    <w:rsid w:val="00AF53B1"/>
    <w:rsid w:val="00B02DBD"/>
    <w:rsid w:val="00B32222"/>
    <w:rsid w:val="00B3446C"/>
    <w:rsid w:val="00B354C8"/>
    <w:rsid w:val="00B37C57"/>
    <w:rsid w:val="00B4790C"/>
    <w:rsid w:val="00B53377"/>
    <w:rsid w:val="00B642F1"/>
    <w:rsid w:val="00B659F4"/>
    <w:rsid w:val="00B73B39"/>
    <w:rsid w:val="00B7713E"/>
    <w:rsid w:val="00B83EE5"/>
    <w:rsid w:val="00B90D2A"/>
    <w:rsid w:val="00B94C93"/>
    <w:rsid w:val="00BA5FB1"/>
    <w:rsid w:val="00BB35CF"/>
    <w:rsid w:val="00BC29C5"/>
    <w:rsid w:val="00BC4753"/>
    <w:rsid w:val="00BD399F"/>
    <w:rsid w:val="00BE0693"/>
    <w:rsid w:val="00C055DB"/>
    <w:rsid w:val="00C06F79"/>
    <w:rsid w:val="00C119F9"/>
    <w:rsid w:val="00C27F69"/>
    <w:rsid w:val="00C32692"/>
    <w:rsid w:val="00C36E40"/>
    <w:rsid w:val="00C44395"/>
    <w:rsid w:val="00C44C1B"/>
    <w:rsid w:val="00C504E1"/>
    <w:rsid w:val="00C763FA"/>
    <w:rsid w:val="00C77A06"/>
    <w:rsid w:val="00C77B5D"/>
    <w:rsid w:val="00C8017C"/>
    <w:rsid w:val="00C807A7"/>
    <w:rsid w:val="00C8264A"/>
    <w:rsid w:val="00C82873"/>
    <w:rsid w:val="00C966A0"/>
    <w:rsid w:val="00CA06EA"/>
    <w:rsid w:val="00CA5D32"/>
    <w:rsid w:val="00CB1EA3"/>
    <w:rsid w:val="00CB4FBC"/>
    <w:rsid w:val="00CB5A8B"/>
    <w:rsid w:val="00CB5C06"/>
    <w:rsid w:val="00CB638A"/>
    <w:rsid w:val="00CB6EA9"/>
    <w:rsid w:val="00CC6581"/>
    <w:rsid w:val="00CC6EF6"/>
    <w:rsid w:val="00CF2F4B"/>
    <w:rsid w:val="00D02109"/>
    <w:rsid w:val="00D100FB"/>
    <w:rsid w:val="00D10285"/>
    <w:rsid w:val="00D109A7"/>
    <w:rsid w:val="00D26384"/>
    <w:rsid w:val="00D2675A"/>
    <w:rsid w:val="00D32CB2"/>
    <w:rsid w:val="00D344F4"/>
    <w:rsid w:val="00D347B4"/>
    <w:rsid w:val="00D34D1B"/>
    <w:rsid w:val="00D362E0"/>
    <w:rsid w:val="00D4099D"/>
    <w:rsid w:val="00D40F41"/>
    <w:rsid w:val="00D42E36"/>
    <w:rsid w:val="00D47305"/>
    <w:rsid w:val="00D54A76"/>
    <w:rsid w:val="00D60058"/>
    <w:rsid w:val="00D61B3F"/>
    <w:rsid w:val="00D62F68"/>
    <w:rsid w:val="00D644DD"/>
    <w:rsid w:val="00D65304"/>
    <w:rsid w:val="00D7544F"/>
    <w:rsid w:val="00D81761"/>
    <w:rsid w:val="00D84C10"/>
    <w:rsid w:val="00D85B86"/>
    <w:rsid w:val="00D86141"/>
    <w:rsid w:val="00D90897"/>
    <w:rsid w:val="00D93D80"/>
    <w:rsid w:val="00DA21CA"/>
    <w:rsid w:val="00DB5266"/>
    <w:rsid w:val="00DB64C6"/>
    <w:rsid w:val="00DC56E2"/>
    <w:rsid w:val="00DE7A91"/>
    <w:rsid w:val="00DF0855"/>
    <w:rsid w:val="00DF110E"/>
    <w:rsid w:val="00DF122B"/>
    <w:rsid w:val="00DF52A0"/>
    <w:rsid w:val="00E04A2B"/>
    <w:rsid w:val="00E05028"/>
    <w:rsid w:val="00E124A2"/>
    <w:rsid w:val="00E12C1B"/>
    <w:rsid w:val="00E13C7B"/>
    <w:rsid w:val="00E13E53"/>
    <w:rsid w:val="00E23F8A"/>
    <w:rsid w:val="00E24841"/>
    <w:rsid w:val="00E26084"/>
    <w:rsid w:val="00E2645E"/>
    <w:rsid w:val="00E34722"/>
    <w:rsid w:val="00E3537A"/>
    <w:rsid w:val="00E4086E"/>
    <w:rsid w:val="00E43659"/>
    <w:rsid w:val="00E51536"/>
    <w:rsid w:val="00E53A4B"/>
    <w:rsid w:val="00E60896"/>
    <w:rsid w:val="00E659A9"/>
    <w:rsid w:val="00E70F82"/>
    <w:rsid w:val="00E73702"/>
    <w:rsid w:val="00E7767C"/>
    <w:rsid w:val="00E81F10"/>
    <w:rsid w:val="00E82A53"/>
    <w:rsid w:val="00E86072"/>
    <w:rsid w:val="00E8682F"/>
    <w:rsid w:val="00E943C2"/>
    <w:rsid w:val="00E960B8"/>
    <w:rsid w:val="00E968BB"/>
    <w:rsid w:val="00EA451D"/>
    <w:rsid w:val="00EA46CF"/>
    <w:rsid w:val="00EA4B8D"/>
    <w:rsid w:val="00EA4F91"/>
    <w:rsid w:val="00EA6700"/>
    <w:rsid w:val="00EB4790"/>
    <w:rsid w:val="00EC0EFE"/>
    <w:rsid w:val="00ED155D"/>
    <w:rsid w:val="00ED1E82"/>
    <w:rsid w:val="00ED2878"/>
    <w:rsid w:val="00EE25EF"/>
    <w:rsid w:val="00EE2945"/>
    <w:rsid w:val="00EE3EBE"/>
    <w:rsid w:val="00EE4F62"/>
    <w:rsid w:val="00EE4FAB"/>
    <w:rsid w:val="00EE7A53"/>
    <w:rsid w:val="00EF3138"/>
    <w:rsid w:val="00EF63A1"/>
    <w:rsid w:val="00F01FD1"/>
    <w:rsid w:val="00F034E8"/>
    <w:rsid w:val="00F04270"/>
    <w:rsid w:val="00F075AA"/>
    <w:rsid w:val="00F07752"/>
    <w:rsid w:val="00F151F2"/>
    <w:rsid w:val="00F15B17"/>
    <w:rsid w:val="00F27E5A"/>
    <w:rsid w:val="00F37018"/>
    <w:rsid w:val="00F428CD"/>
    <w:rsid w:val="00F42FEE"/>
    <w:rsid w:val="00F44CED"/>
    <w:rsid w:val="00F459E9"/>
    <w:rsid w:val="00F470B2"/>
    <w:rsid w:val="00F51EC6"/>
    <w:rsid w:val="00F5461D"/>
    <w:rsid w:val="00F64CE3"/>
    <w:rsid w:val="00F665C5"/>
    <w:rsid w:val="00F77F5B"/>
    <w:rsid w:val="00F80312"/>
    <w:rsid w:val="00F92B5D"/>
    <w:rsid w:val="00FA4833"/>
    <w:rsid w:val="00FB0097"/>
    <w:rsid w:val="00FC5881"/>
    <w:rsid w:val="00FE61F9"/>
    <w:rsid w:val="00FF166C"/>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E7C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Calibri" w:hAnsi="Garamond"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5EF"/>
    <w:pPr>
      <w:spacing w:before="120" w:after="120"/>
      <w:ind w:left="851" w:hanging="851"/>
      <w:jc w:val="both"/>
    </w:pPr>
    <w:rPr>
      <w:rFonts w:ascii="Trebuchet MS" w:eastAsia="Times New Roman" w:hAnsi="Trebuchet MS"/>
      <w:kern w:val="32"/>
      <w:sz w:val="22"/>
      <w:szCs w:val="22"/>
      <w:lang w:eastAsia="en-US"/>
    </w:rPr>
  </w:style>
  <w:style w:type="paragraph" w:styleId="Heading1">
    <w:name w:val="heading 1"/>
    <w:basedOn w:val="Normal"/>
    <w:next w:val="Normal"/>
    <w:link w:val="Heading1Char"/>
    <w:qFormat/>
    <w:rsid w:val="005B3709"/>
    <w:pPr>
      <w:keepNext/>
      <w:spacing w:before="240" w:after="60"/>
      <w:jc w:val="center"/>
      <w:outlineLvl w:val="0"/>
    </w:pPr>
    <w:rPr>
      <w:rFonts w:ascii="Garamond" w:eastAsia="Calibri" w:hAnsi="Garamond"/>
      <w:b/>
      <w:bCs/>
      <w:smallCaps/>
      <w:kern w:val="0"/>
      <w:sz w:val="32"/>
      <w:szCs w:val="32"/>
      <w:u w:val="single"/>
      <w:lang w:val="en-US"/>
    </w:rPr>
  </w:style>
  <w:style w:type="paragraph" w:styleId="Heading2">
    <w:name w:val="heading 2"/>
    <w:basedOn w:val="Normal"/>
    <w:next w:val="Normal"/>
    <w:link w:val="Heading2Char"/>
    <w:qFormat/>
    <w:rsid w:val="00D32CB2"/>
    <w:pPr>
      <w:keepNext/>
      <w:spacing w:before="60" w:after="60"/>
      <w:ind w:left="0" w:firstLine="0"/>
      <w:outlineLvl w:val="1"/>
    </w:pPr>
    <w:rPr>
      <w:b/>
      <w:iCs/>
      <w:kern w:val="0"/>
      <w:sz w:val="28"/>
      <w:szCs w:val="28"/>
      <w:u w:val="single"/>
      <w:lang w:val="en-US"/>
    </w:rPr>
  </w:style>
  <w:style w:type="paragraph" w:styleId="Heading3">
    <w:name w:val="heading 3"/>
    <w:basedOn w:val="Normal"/>
    <w:next w:val="Normal"/>
    <w:link w:val="Heading3Char"/>
    <w:qFormat/>
    <w:rsid w:val="005B3709"/>
    <w:pPr>
      <w:keepNext/>
      <w:outlineLvl w:val="2"/>
    </w:pPr>
    <w:rPr>
      <w:rFonts w:ascii="Garamond" w:eastAsia="Calibri" w:hAnsi="Garamond"/>
      <w:kern w:val="0"/>
      <w:sz w:val="24"/>
      <w:szCs w:val="24"/>
      <w:u w:val="single"/>
      <w:lang w:val="en-US"/>
    </w:rPr>
  </w:style>
  <w:style w:type="paragraph" w:styleId="Heading4">
    <w:name w:val="heading 4"/>
    <w:basedOn w:val="Normal"/>
    <w:next w:val="Normal"/>
    <w:link w:val="Heading4Char"/>
    <w:qFormat/>
    <w:rsid w:val="005B3709"/>
    <w:pPr>
      <w:keepNext/>
      <w:outlineLvl w:val="3"/>
    </w:pPr>
    <w:rPr>
      <w:rFonts w:ascii="Garamond" w:eastAsia="Calibri" w:hAnsi="Garamond"/>
      <w:i/>
      <w:iCs/>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B3709"/>
    <w:rPr>
      <w:rFonts w:eastAsia="Times New Roman" w:cs="Times New Roman"/>
      <w:b/>
      <w:smallCaps/>
      <w:sz w:val="32"/>
      <w:u w:val="single"/>
    </w:rPr>
  </w:style>
  <w:style w:type="character" w:customStyle="1" w:styleId="Heading2Char">
    <w:name w:val="Heading 2 Char"/>
    <w:link w:val="Heading2"/>
    <w:locked/>
    <w:rsid w:val="00D32CB2"/>
    <w:rPr>
      <w:rFonts w:ascii="Trebuchet MS" w:hAnsi="Trebuchet MS" w:cs="Times New Roman"/>
      <w:b/>
      <w:kern w:val="0"/>
      <w:sz w:val="28"/>
      <w:u w:val="single"/>
    </w:rPr>
  </w:style>
  <w:style w:type="character" w:customStyle="1" w:styleId="Heading3Char">
    <w:name w:val="Heading 3 Char"/>
    <w:link w:val="Heading3"/>
    <w:locked/>
    <w:rsid w:val="005B3709"/>
    <w:rPr>
      <w:rFonts w:eastAsia="Times New Roman" w:cs="Times New Roman"/>
      <w:kern w:val="0"/>
      <w:sz w:val="24"/>
      <w:u w:val="single"/>
    </w:rPr>
  </w:style>
  <w:style w:type="character" w:customStyle="1" w:styleId="Heading4Char">
    <w:name w:val="Heading 4 Char"/>
    <w:link w:val="Heading4"/>
    <w:locked/>
    <w:rsid w:val="005B3709"/>
    <w:rPr>
      <w:rFonts w:eastAsia="Times New Roman" w:cs="Times New Roman"/>
      <w:i/>
      <w:kern w:val="0"/>
      <w:sz w:val="28"/>
    </w:rPr>
  </w:style>
  <w:style w:type="paragraph" w:styleId="Header">
    <w:name w:val="header"/>
    <w:basedOn w:val="Normal"/>
    <w:link w:val="HeaderChar"/>
    <w:rsid w:val="005B3709"/>
    <w:pPr>
      <w:tabs>
        <w:tab w:val="right" w:pos="9072"/>
      </w:tabs>
    </w:pPr>
    <w:rPr>
      <w:rFonts w:ascii="Garamond" w:eastAsia="Calibri" w:hAnsi="Garamond"/>
      <w:kern w:val="0"/>
      <w:sz w:val="24"/>
      <w:szCs w:val="24"/>
      <w:lang w:val="en-US"/>
    </w:rPr>
  </w:style>
  <w:style w:type="character" w:customStyle="1" w:styleId="HeaderChar">
    <w:name w:val="Header Char"/>
    <w:link w:val="Header"/>
    <w:locked/>
    <w:rsid w:val="005B3709"/>
    <w:rPr>
      <w:rFonts w:eastAsia="Times New Roman" w:cs="Times New Roman"/>
      <w:kern w:val="0"/>
      <w:sz w:val="24"/>
    </w:rPr>
  </w:style>
  <w:style w:type="paragraph" w:styleId="Footer">
    <w:name w:val="footer"/>
    <w:basedOn w:val="Normal"/>
    <w:link w:val="FooterChar"/>
    <w:rsid w:val="005B3709"/>
    <w:pPr>
      <w:tabs>
        <w:tab w:val="right" w:pos="9072"/>
      </w:tabs>
    </w:pPr>
    <w:rPr>
      <w:rFonts w:ascii="Garamond" w:eastAsia="Calibri" w:hAnsi="Garamond"/>
      <w:kern w:val="0"/>
      <w:sz w:val="24"/>
      <w:szCs w:val="24"/>
      <w:lang w:val="en-US"/>
    </w:rPr>
  </w:style>
  <w:style w:type="character" w:customStyle="1" w:styleId="FooterChar">
    <w:name w:val="Footer Char"/>
    <w:link w:val="Footer"/>
    <w:locked/>
    <w:rsid w:val="005B3709"/>
    <w:rPr>
      <w:rFonts w:eastAsia="Times New Roman" w:cs="Times New Roman"/>
      <w:kern w:val="0"/>
      <w:sz w:val="24"/>
    </w:rPr>
  </w:style>
  <w:style w:type="paragraph" w:styleId="FootnoteText">
    <w:name w:val="footnote text"/>
    <w:basedOn w:val="Normal"/>
    <w:link w:val="FootnoteTextChar"/>
    <w:semiHidden/>
    <w:rsid w:val="00B53377"/>
    <w:pPr>
      <w:ind w:left="567" w:hanging="567"/>
    </w:pPr>
    <w:rPr>
      <w:rFonts w:ascii="Palatino Linotype" w:eastAsia="Calibri" w:hAnsi="Palatino Linotype"/>
      <w:kern w:val="0"/>
      <w:sz w:val="20"/>
      <w:szCs w:val="20"/>
      <w:lang w:val="en-US"/>
    </w:rPr>
  </w:style>
  <w:style w:type="character" w:customStyle="1" w:styleId="FootnoteTextChar">
    <w:name w:val="Footnote Text Char"/>
    <w:link w:val="FootnoteText"/>
    <w:semiHidden/>
    <w:locked/>
    <w:rsid w:val="00B53377"/>
    <w:rPr>
      <w:rFonts w:ascii="Palatino Linotype" w:hAnsi="Palatino Linotype" w:cs="Times New Roman"/>
    </w:rPr>
  </w:style>
  <w:style w:type="paragraph" w:customStyle="1" w:styleId="Pleading-Centred">
    <w:name w:val="Pleading - Centred"/>
    <w:basedOn w:val="Normal"/>
    <w:next w:val="Normal"/>
    <w:rsid w:val="005B3709"/>
    <w:pPr>
      <w:jc w:val="center"/>
    </w:pPr>
    <w:rPr>
      <w:rFonts w:eastAsia="Calibri"/>
      <w:b/>
      <w:smallCaps/>
      <w:kern w:val="0"/>
      <w:szCs w:val="24"/>
    </w:rPr>
  </w:style>
  <w:style w:type="paragraph" w:customStyle="1" w:styleId="Pleading-Left">
    <w:name w:val="Pleading - Left"/>
    <w:basedOn w:val="Normal"/>
    <w:next w:val="Normal"/>
    <w:rsid w:val="005B3709"/>
    <w:rPr>
      <w:rFonts w:eastAsia="Calibri"/>
      <w:smallCaps/>
      <w:kern w:val="0"/>
      <w:szCs w:val="24"/>
      <w:u w:val="single"/>
      <w:lang w:eastAsia="en-GB"/>
    </w:rPr>
  </w:style>
  <w:style w:type="paragraph" w:customStyle="1" w:styleId="Pleading-Right">
    <w:name w:val="Pleading - Right"/>
    <w:basedOn w:val="Normal"/>
    <w:next w:val="Normal"/>
    <w:rsid w:val="005B3709"/>
    <w:pPr>
      <w:jc w:val="right"/>
    </w:pPr>
    <w:rPr>
      <w:rFonts w:eastAsia="Calibri"/>
      <w:kern w:val="0"/>
      <w:szCs w:val="24"/>
      <w:u w:val="single"/>
    </w:rPr>
  </w:style>
  <w:style w:type="paragraph" w:customStyle="1" w:styleId="Pleading-Title">
    <w:name w:val="Pleading - Title"/>
    <w:basedOn w:val="Pleading-Centred"/>
    <w:next w:val="Normal"/>
    <w:rsid w:val="005B3709"/>
    <w:pPr>
      <w:pBdr>
        <w:top w:val="thinThickSmallGap" w:sz="24" w:space="6" w:color="auto"/>
        <w:bottom w:val="thickThinSmallGap" w:sz="24" w:space="1" w:color="auto"/>
      </w:pBdr>
    </w:pPr>
  </w:style>
  <w:style w:type="paragraph" w:customStyle="1" w:styleId="ColorfulGrid-Accent11">
    <w:name w:val="Colorful Grid - Accent 11"/>
    <w:basedOn w:val="Normal"/>
    <w:next w:val="Normal"/>
    <w:link w:val="ColorfulGrid-Accent1Char"/>
    <w:rsid w:val="00787A66"/>
    <w:pPr>
      <w:ind w:right="567"/>
    </w:pPr>
    <w:rPr>
      <w:rFonts w:ascii="Arial" w:hAnsi="Arial"/>
      <w:color w:val="000000"/>
      <w:kern w:val="0"/>
      <w:sz w:val="24"/>
      <w:szCs w:val="20"/>
      <w:lang w:val="en-US"/>
    </w:rPr>
  </w:style>
  <w:style w:type="character" w:customStyle="1" w:styleId="ColorfulGrid-Accent1Char">
    <w:name w:val="Colorful Grid - Accent 1 Char"/>
    <w:link w:val="ColorfulGrid-Accent11"/>
    <w:locked/>
    <w:rsid w:val="00787A66"/>
    <w:rPr>
      <w:rFonts w:ascii="Arial" w:hAnsi="Arial"/>
      <w:color w:val="000000"/>
      <w:kern w:val="0"/>
      <w:sz w:val="24"/>
    </w:rPr>
  </w:style>
  <w:style w:type="character" w:styleId="FootnoteReference">
    <w:name w:val="footnote reference"/>
    <w:semiHidden/>
    <w:rsid w:val="000D5CE4"/>
    <w:rPr>
      <w:rFonts w:cs="Times New Roman"/>
      <w:vertAlign w:val="superscript"/>
    </w:rPr>
  </w:style>
  <w:style w:type="paragraph" w:styleId="TOC1">
    <w:name w:val="toc 1"/>
    <w:basedOn w:val="Normal"/>
    <w:next w:val="Normal"/>
    <w:autoRedefine/>
    <w:rsid w:val="001E0669"/>
    <w:pPr>
      <w:tabs>
        <w:tab w:val="left" w:pos="851"/>
        <w:tab w:val="right" w:leader="dot" w:pos="9060"/>
      </w:tabs>
      <w:spacing w:after="100"/>
    </w:pPr>
  </w:style>
  <w:style w:type="character" w:styleId="Hyperlink">
    <w:name w:val="Hyperlink"/>
    <w:rsid w:val="001E0669"/>
    <w:rPr>
      <w:rFonts w:cs="Times New Roman"/>
      <w:color w:val="0000FF"/>
      <w:u w:val="single"/>
    </w:rPr>
  </w:style>
  <w:style w:type="character" w:styleId="CommentReference">
    <w:name w:val="annotation reference"/>
    <w:semiHidden/>
    <w:rsid w:val="00EA451D"/>
    <w:rPr>
      <w:rFonts w:cs="Times New Roman"/>
      <w:sz w:val="16"/>
    </w:rPr>
  </w:style>
  <w:style w:type="paragraph" w:styleId="CommentText">
    <w:name w:val="annotation text"/>
    <w:basedOn w:val="Normal"/>
    <w:link w:val="CommentTextChar"/>
    <w:semiHidden/>
    <w:rsid w:val="00EA451D"/>
    <w:rPr>
      <w:kern w:val="0"/>
      <w:sz w:val="20"/>
      <w:szCs w:val="20"/>
      <w:lang w:val="en-US"/>
    </w:rPr>
  </w:style>
  <w:style w:type="character" w:customStyle="1" w:styleId="CommentTextChar">
    <w:name w:val="Comment Text Char"/>
    <w:link w:val="CommentText"/>
    <w:semiHidden/>
    <w:locked/>
    <w:rsid w:val="00EA451D"/>
    <w:rPr>
      <w:rFonts w:ascii="Trebuchet MS" w:hAnsi="Trebuchet MS" w:cs="Times New Roman"/>
      <w:sz w:val="20"/>
    </w:rPr>
  </w:style>
  <w:style w:type="paragraph" w:styleId="CommentSubject">
    <w:name w:val="annotation subject"/>
    <w:basedOn w:val="CommentText"/>
    <w:next w:val="CommentText"/>
    <w:link w:val="CommentSubjectChar"/>
    <w:semiHidden/>
    <w:rsid w:val="00EA451D"/>
    <w:rPr>
      <w:b/>
      <w:bCs/>
    </w:rPr>
  </w:style>
  <w:style w:type="character" w:customStyle="1" w:styleId="CommentSubjectChar">
    <w:name w:val="Comment Subject Char"/>
    <w:link w:val="CommentSubject"/>
    <w:semiHidden/>
    <w:locked/>
    <w:rsid w:val="00EA451D"/>
    <w:rPr>
      <w:rFonts w:ascii="Trebuchet MS" w:hAnsi="Trebuchet MS" w:cs="Times New Roman"/>
      <w:b/>
      <w:sz w:val="20"/>
    </w:rPr>
  </w:style>
  <w:style w:type="paragraph" w:customStyle="1" w:styleId="ColorfulShading-Accent11">
    <w:name w:val="Colorful Shading - Accent 11"/>
    <w:hidden/>
    <w:semiHidden/>
    <w:rsid w:val="00EA451D"/>
    <w:rPr>
      <w:rFonts w:ascii="Trebuchet MS" w:eastAsia="Times New Roman" w:hAnsi="Trebuchet MS"/>
      <w:kern w:val="32"/>
      <w:sz w:val="22"/>
      <w:szCs w:val="22"/>
      <w:lang w:eastAsia="en-US"/>
    </w:rPr>
  </w:style>
  <w:style w:type="paragraph" w:styleId="BalloonText">
    <w:name w:val="Balloon Text"/>
    <w:basedOn w:val="Normal"/>
    <w:link w:val="BalloonTextChar"/>
    <w:semiHidden/>
    <w:rsid w:val="00EA451D"/>
    <w:pPr>
      <w:spacing w:before="0" w:after="0"/>
    </w:pPr>
    <w:rPr>
      <w:rFonts w:ascii="Tahoma" w:hAnsi="Tahoma"/>
      <w:kern w:val="0"/>
      <w:sz w:val="16"/>
      <w:szCs w:val="16"/>
      <w:lang w:val="en-US"/>
    </w:rPr>
  </w:style>
  <w:style w:type="character" w:customStyle="1" w:styleId="BalloonTextChar">
    <w:name w:val="Balloon Text Char"/>
    <w:link w:val="BalloonText"/>
    <w:semiHidden/>
    <w:locked/>
    <w:rsid w:val="00EA451D"/>
    <w:rPr>
      <w:rFonts w:ascii="Tahoma" w:hAnsi="Tahoma" w:cs="Times New Roman"/>
      <w:sz w:val="16"/>
    </w:rPr>
  </w:style>
  <w:style w:type="paragraph" w:styleId="Title">
    <w:name w:val="Title"/>
    <w:basedOn w:val="Normal"/>
    <w:link w:val="TitleChar"/>
    <w:qFormat/>
    <w:locked/>
    <w:rsid w:val="00F075AA"/>
    <w:pPr>
      <w:tabs>
        <w:tab w:val="center" w:pos="4909"/>
      </w:tabs>
      <w:suppressAutoHyphens/>
      <w:spacing w:before="0" w:after="0" w:line="240" w:lineRule="exact"/>
      <w:ind w:left="0" w:right="26" w:firstLine="0"/>
      <w:jc w:val="center"/>
    </w:pPr>
    <w:rPr>
      <w:rFonts w:ascii="CG Times" w:eastAsia="Calibri" w:hAnsi="CG Times"/>
      <w:b/>
      <w:spacing w:val="-3"/>
      <w:kern w:val="0"/>
      <w:sz w:val="26"/>
      <w:szCs w:val="20"/>
      <w:lang w:val="en-US"/>
    </w:rPr>
  </w:style>
  <w:style w:type="character" w:customStyle="1" w:styleId="TitleChar">
    <w:name w:val="Title Char"/>
    <w:link w:val="Title"/>
    <w:locked/>
    <w:rsid w:val="00F075AA"/>
    <w:rPr>
      <w:rFonts w:ascii="CG Times" w:hAnsi="CG Times" w:cs="Times New Roman"/>
      <w:b/>
      <w:spacing w:val="-3"/>
      <w:sz w:val="26"/>
      <w:lang w:val="x-none" w:eastAsia="en-US"/>
    </w:rPr>
  </w:style>
  <w:style w:type="paragraph" w:customStyle="1" w:styleId="ColorfulList-Accent11">
    <w:name w:val="Colorful List - Accent 11"/>
    <w:basedOn w:val="Normal"/>
    <w:rsid w:val="00873F0F"/>
    <w:pPr>
      <w:ind w:left="720"/>
      <w:contextualSpacing/>
    </w:pPr>
  </w:style>
  <w:style w:type="paragraph" w:styleId="Revision">
    <w:name w:val="Revision"/>
    <w:hidden/>
    <w:semiHidden/>
    <w:rsid w:val="00700525"/>
    <w:rPr>
      <w:rFonts w:ascii="Trebuchet MS" w:eastAsia="Times New Roman" w:hAnsi="Trebuchet MS"/>
      <w:kern w:val="32"/>
      <w:sz w:val="22"/>
      <w:szCs w:val="22"/>
      <w:lang w:eastAsia="en-US"/>
    </w:rPr>
  </w:style>
  <w:style w:type="paragraph" w:styleId="Quote">
    <w:name w:val="Quote"/>
    <w:basedOn w:val="Normal"/>
    <w:next w:val="Normal"/>
    <w:link w:val="QuoteChar"/>
    <w:qFormat/>
    <w:rsid w:val="0094608B"/>
    <w:pPr>
      <w:ind w:right="567"/>
    </w:pPr>
    <w:rPr>
      <w:rFonts w:ascii="Arial" w:eastAsia="Calibri" w:hAnsi="Arial"/>
      <w:iCs/>
      <w:color w:val="000000"/>
      <w:kern w:val="0"/>
      <w:sz w:val="20"/>
      <w:szCs w:val="24"/>
      <w:lang w:val="en-US"/>
    </w:rPr>
  </w:style>
  <w:style w:type="character" w:customStyle="1" w:styleId="QuoteChar">
    <w:name w:val="Quote Char"/>
    <w:link w:val="Quote"/>
    <w:locked/>
    <w:rsid w:val="0094608B"/>
    <w:rPr>
      <w:rFonts w:ascii="Arial" w:hAnsi="Arial" w:cs="Times New Roman"/>
      <w:color w:val="000000"/>
      <w:sz w:val="24"/>
      <w:lang w:val="x-none" w:eastAsia="en-US"/>
    </w:rPr>
  </w:style>
  <w:style w:type="paragraph" w:styleId="ListParagraph">
    <w:name w:val="List Paragraph"/>
    <w:basedOn w:val="Normal"/>
    <w:qFormat/>
    <w:rsid w:val="0094608B"/>
    <w:pPr>
      <w:ind w:left="720"/>
      <w:contextualSpacing/>
    </w:pPr>
  </w:style>
  <w:style w:type="paragraph" w:customStyle="1" w:styleId="Default">
    <w:name w:val="Default"/>
    <w:rsid w:val="005B1D66"/>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(NEW) STANDARD CONTRACTUAL TERMS FOR THE SUPPLY OF LEGAL SERVICES BY BARRISTERS TO AUTHORISED PERSONS 2012 – </vt:lpstr>
    </vt:vector>
  </TitlesOfParts>
  <Company/>
  <LinksUpToDate>false</LinksUpToDate>
  <CharactersWithSpaces>24516</CharactersWithSpaces>
  <SharedDoc>false</SharedDoc>
  <HLinks>
    <vt:vector size="114" baseType="variant">
      <vt:variant>
        <vt:i4>1376308</vt:i4>
      </vt:variant>
      <vt:variant>
        <vt:i4>110</vt:i4>
      </vt:variant>
      <vt:variant>
        <vt:i4>0</vt:i4>
      </vt:variant>
      <vt:variant>
        <vt:i4>5</vt:i4>
      </vt:variant>
      <vt:variant>
        <vt:lpwstr/>
      </vt:variant>
      <vt:variant>
        <vt:lpwstr>_Toc326333207</vt:lpwstr>
      </vt:variant>
      <vt:variant>
        <vt:i4>1376308</vt:i4>
      </vt:variant>
      <vt:variant>
        <vt:i4>104</vt:i4>
      </vt:variant>
      <vt:variant>
        <vt:i4>0</vt:i4>
      </vt:variant>
      <vt:variant>
        <vt:i4>5</vt:i4>
      </vt:variant>
      <vt:variant>
        <vt:lpwstr/>
      </vt:variant>
      <vt:variant>
        <vt:lpwstr>_Toc326333206</vt:lpwstr>
      </vt:variant>
      <vt:variant>
        <vt:i4>1376308</vt:i4>
      </vt:variant>
      <vt:variant>
        <vt:i4>98</vt:i4>
      </vt:variant>
      <vt:variant>
        <vt:i4>0</vt:i4>
      </vt:variant>
      <vt:variant>
        <vt:i4>5</vt:i4>
      </vt:variant>
      <vt:variant>
        <vt:lpwstr/>
      </vt:variant>
      <vt:variant>
        <vt:lpwstr>_Toc326333205</vt:lpwstr>
      </vt:variant>
      <vt:variant>
        <vt:i4>1376308</vt:i4>
      </vt:variant>
      <vt:variant>
        <vt:i4>92</vt:i4>
      </vt:variant>
      <vt:variant>
        <vt:i4>0</vt:i4>
      </vt:variant>
      <vt:variant>
        <vt:i4>5</vt:i4>
      </vt:variant>
      <vt:variant>
        <vt:lpwstr/>
      </vt:variant>
      <vt:variant>
        <vt:lpwstr>_Toc326333204</vt:lpwstr>
      </vt:variant>
      <vt:variant>
        <vt:i4>1376308</vt:i4>
      </vt:variant>
      <vt:variant>
        <vt:i4>86</vt:i4>
      </vt:variant>
      <vt:variant>
        <vt:i4>0</vt:i4>
      </vt:variant>
      <vt:variant>
        <vt:i4>5</vt:i4>
      </vt:variant>
      <vt:variant>
        <vt:lpwstr/>
      </vt:variant>
      <vt:variant>
        <vt:lpwstr>_Toc326333203</vt:lpwstr>
      </vt:variant>
      <vt:variant>
        <vt:i4>1376308</vt:i4>
      </vt:variant>
      <vt:variant>
        <vt:i4>80</vt:i4>
      </vt:variant>
      <vt:variant>
        <vt:i4>0</vt:i4>
      </vt:variant>
      <vt:variant>
        <vt:i4>5</vt:i4>
      </vt:variant>
      <vt:variant>
        <vt:lpwstr/>
      </vt:variant>
      <vt:variant>
        <vt:lpwstr>_Toc326333202</vt:lpwstr>
      </vt:variant>
      <vt:variant>
        <vt:i4>1376308</vt:i4>
      </vt:variant>
      <vt:variant>
        <vt:i4>74</vt:i4>
      </vt:variant>
      <vt:variant>
        <vt:i4>0</vt:i4>
      </vt:variant>
      <vt:variant>
        <vt:i4>5</vt:i4>
      </vt:variant>
      <vt:variant>
        <vt:lpwstr/>
      </vt:variant>
      <vt:variant>
        <vt:lpwstr>_Toc326333201</vt:lpwstr>
      </vt:variant>
      <vt:variant>
        <vt:i4>1376308</vt:i4>
      </vt:variant>
      <vt:variant>
        <vt:i4>68</vt:i4>
      </vt:variant>
      <vt:variant>
        <vt:i4>0</vt:i4>
      </vt:variant>
      <vt:variant>
        <vt:i4>5</vt:i4>
      </vt:variant>
      <vt:variant>
        <vt:lpwstr/>
      </vt:variant>
      <vt:variant>
        <vt:lpwstr>_Toc326333200</vt:lpwstr>
      </vt:variant>
      <vt:variant>
        <vt:i4>1835063</vt:i4>
      </vt:variant>
      <vt:variant>
        <vt:i4>62</vt:i4>
      </vt:variant>
      <vt:variant>
        <vt:i4>0</vt:i4>
      </vt:variant>
      <vt:variant>
        <vt:i4>5</vt:i4>
      </vt:variant>
      <vt:variant>
        <vt:lpwstr/>
      </vt:variant>
      <vt:variant>
        <vt:lpwstr>_Toc326333199</vt:lpwstr>
      </vt:variant>
      <vt:variant>
        <vt:i4>1835063</vt:i4>
      </vt:variant>
      <vt:variant>
        <vt:i4>56</vt:i4>
      </vt:variant>
      <vt:variant>
        <vt:i4>0</vt:i4>
      </vt:variant>
      <vt:variant>
        <vt:i4>5</vt:i4>
      </vt:variant>
      <vt:variant>
        <vt:lpwstr/>
      </vt:variant>
      <vt:variant>
        <vt:lpwstr>_Toc326333198</vt:lpwstr>
      </vt:variant>
      <vt:variant>
        <vt:i4>1835063</vt:i4>
      </vt:variant>
      <vt:variant>
        <vt:i4>50</vt:i4>
      </vt:variant>
      <vt:variant>
        <vt:i4>0</vt:i4>
      </vt:variant>
      <vt:variant>
        <vt:i4>5</vt:i4>
      </vt:variant>
      <vt:variant>
        <vt:lpwstr/>
      </vt:variant>
      <vt:variant>
        <vt:lpwstr>_Toc326333197</vt:lpwstr>
      </vt:variant>
      <vt:variant>
        <vt:i4>1835063</vt:i4>
      </vt:variant>
      <vt:variant>
        <vt:i4>44</vt:i4>
      </vt:variant>
      <vt:variant>
        <vt:i4>0</vt:i4>
      </vt:variant>
      <vt:variant>
        <vt:i4>5</vt:i4>
      </vt:variant>
      <vt:variant>
        <vt:lpwstr/>
      </vt:variant>
      <vt:variant>
        <vt:lpwstr>_Toc326333196</vt:lpwstr>
      </vt:variant>
      <vt:variant>
        <vt:i4>1835063</vt:i4>
      </vt:variant>
      <vt:variant>
        <vt:i4>38</vt:i4>
      </vt:variant>
      <vt:variant>
        <vt:i4>0</vt:i4>
      </vt:variant>
      <vt:variant>
        <vt:i4>5</vt:i4>
      </vt:variant>
      <vt:variant>
        <vt:lpwstr/>
      </vt:variant>
      <vt:variant>
        <vt:lpwstr>_Toc326333195</vt:lpwstr>
      </vt:variant>
      <vt:variant>
        <vt:i4>1835063</vt:i4>
      </vt:variant>
      <vt:variant>
        <vt:i4>32</vt:i4>
      </vt:variant>
      <vt:variant>
        <vt:i4>0</vt:i4>
      </vt:variant>
      <vt:variant>
        <vt:i4>5</vt:i4>
      </vt:variant>
      <vt:variant>
        <vt:lpwstr/>
      </vt:variant>
      <vt:variant>
        <vt:lpwstr>_Toc326333194</vt:lpwstr>
      </vt:variant>
      <vt:variant>
        <vt:i4>1835063</vt:i4>
      </vt:variant>
      <vt:variant>
        <vt:i4>26</vt:i4>
      </vt:variant>
      <vt:variant>
        <vt:i4>0</vt:i4>
      </vt:variant>
      <vt:variant>
        <vt:i4>5</vt:i4>
      </vt:variant>
      <vt:variant>
        <vt:lpwstr/>
      </vt:variant>
      <vt:variant>
        <vt:lpwstr>_Toc326333193</vt:lpwstr>
      </vt:variant>
      <vt:variant>
        <vt:i4>1835063</vt:i4>
      </vt:variant>
      <vt:variant>
        <vt:i4>20</vt:i4>
      </vt:variant>
      <vt:variant>
        <vt:i4>0</vt:i4>
      </vt:variant>
      <vt:variant>
        <vt:i4>5</vt:i4>
      </vt:variant>
      <vt:variant>
        <vt:lpwstr/>
      </vt:variant>
      <vt:variant>
        <vt:lpwstr>_Toc326333192</vt:lpwstr>
      </vt:variant>
      <vt:variant>
        <vt:i4>1835063</vt:i4>
      </vt:variant>
      <vt:variant>
        <vt:i4>14</vt:i4>
      </vt:variant>
      <vt:variant>
        <vt:i4>0</vt:i4>
      </vt:variant>
      <vt:variant>
        <vt:i4>5</vt:i4>
      </vt:variant>
      <vt:variant>
        <vt:lpwstr/>
      </vt:variant>
      <vt:variant>
        <vt:lpwstr>_Toc326333191</vt:lpwstr>
      </vt:variant>
      <vt:variant>
        <vt:i4>1835063</vt:i4>
      </vt:variant>
      <vt:variant>
        <vt:i4>8</vt:i4>
      </vt:variant>
      <vt:variant>
        <vt:i4>0</vt:i4>
      </vt:variant>
      <vt:variant>
        <vt:i4>5</vt:i4>
      </vt:variant>
      <vt:variant>
        <vt:lpwstr/>
      </vt:variant>
      <vt:variant>
        <vt:lpwstr>_Toc326333190</vt:lpwstr>
      </vt:variant>
      <vt:variant>
        <vt:i4>1900599</vt:i4>
      </vt:variant>
      <vt:variant>
        <vt:i4>2</vt:i4>
      </vt:variant>
      <vt:variant>
        <vt:i4>0</vt:i4>
      </vt:variant>
      <vt:variant>
        <vt:i4>5</vt:i4>
      </vt:variant>
      <vt:variant>
        <vt:lpwstr/>
      </vt:variant>
      <vt:variant>
        <vt:lpwstr>_Toc326333189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STANDARD CONTRACTUAL TERMS FOR THE SUPPLY OF LEGAL SERVICES BY BARRISTERS TO AUTHORISED PERSONS 2012 – </dc:title>
  <dc:subject/>
  <dc:creator/>
  <cp:keywords/>
  <dc:description/>
  <cp:lastModifiedBy/>
  <cp:revision>1</cp:revision>
  <cp:lastPrinted>2013-01-30T14:55:00Z</cp:lastPrinted>
  <dcterms:created xsi:type="dcterms:W3CDTF">2020-04-15T13:16:00Z</dcterms:created>
  <dcterms:modified xsi:type="dcterms:W3CDTF">2020-04-15T13:16:00Z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